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5BC05" w14:textId="77777777" w:rsidR="00323267" w:rsidRDefault="00323267"/>
    <w:p w14:paraId="04E5013E" w14:textId="558771A0" w:rsidR="00323267" w:rsidRPr="00EA6E9A" w:rsidRDefault="00323267" w:rsidP="00EA6E9A">
      <w:pPr>
        <w:spacing w:after="0" w:line="240" w:lineRule="auto"/>
        <w:jc w:val="center"/>
        <w:rPr>
          <w:rFonts w:ascii="Times New Roman" w:eastAsia="Times New Roman" w:hAnsi="Times New Roman" w:cs="Times New Roman"/>
          <w:b/>
          <w:bCs/>
          <w:kern w:val="0"/>
          <w:lang w:eastAsia="es-CO"/>
          <w14:ligatures w14:val="none"/>
        </w:rPr>
      </w:pPr>
      <w:r w:rsidRPr="00EA6E9A">
        <w:rPr>
          <w:rFonts w:ascii="Times New Roman" w:eastAsia="Times New Roman" w:hAnsi="Times New Roman" w:cs="Times New Roman"/>
          <w:b/>
          <w:bCs/>
          <w:kern w:val="0"/>
          <w:lang w:eastAsia="es-CO"/>
          <w14:ligatures w14:val="none"/>
        </w:rPr>
        <w:t>Concepto de Entornos Seguros</w:t>
      </w:r>
    </w:p>
    <w:p w14:paraId="606D5381"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eastAsia="es-CO"/>
          <w14:ligatures w14:val="none"/>
        </w:rPr>
        <w:t xml:space="preserve">El concepto de </w:t>
      </w:r>
      <w:r w:rsidRPr="00323267">
        <w:rPr>
          <w:rFonts w:ascii="Times New Roman" w:eastAsia="Times New Roman" w:hAnsi="Times New Roman" w:cs="Times New Roman"/>
          <w:b/>
          <w:bCs/>
          <w:kern w:val="0"/>
          <w:lang w:eastAsia="es-CO"/>
          <w14:ligatures w14:val="none"/>
        </w:rPr>
        <w:t>entornos seguros</w:t>
      </w:r>
      <w:r w:rsidRPr="00323267">
        <w:rPr>
          <w:rFonts w:ascii="Times New Roman" w:eastAsia="Times New Roman" w:hAnsi="Times New Roman" w:cs="Times New Roman"/>
          <w:kern w:val="0"/>
          <w:lang w:eastAsia="es-CO"/>
          <w14:ligatures w14:val="none"/>
        </w:rPr>
        <w:t xml:space="preserve"> ha evolucionado desde perspectivas centradas exclusivamente en la protección física hacia enfoques integrales que incorporan dimensiones emocionales, sociales, digitales, pedagógicas y de bienestar. En el ámbito educativo, un entorno seguro se comprende como un espacio donde las personas pueden desarrollarse plenamente, participar activamente en los procesos de aprendizaje y convivencia, libres de violencia, discriminación, abuso, negligencia o cualquier forma de vulneración de derechos.</w:t>
      </w:r>
    </w:p>
    <w:p w14:paraId="5D296D9A" w14:textId="3FAE08A1"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eastAsia="es-CO"/>
          <w14:ligatures w14:val="none"/>
        </w:rPr>
        <w:t>La UNESCO</w:t>
      </w:r>
      <w:r w:rsidR="007334FD">
        <w:rPr>
          <w:rFonts w:ascii="Times New Roman" w:eastAsia="Times New Roman" w:hAnsi="Times New Roman" w:cs="Times New Roman"/>
          <w:kern w:val="0"/>
          <w:lang w:eastAsia="es-CO"/>
          <w14:ligatures w14:val="none"/>
        </w:rPr>
        <w:t xml:space="preserve"> (2023)</w:t>
      </w:r>
      <w:r w:rsidR="007334FD" w:rsidRPr="00323267">
        <w:rPr>
          <w:rFonts w:ascii="Times New Roman" w:eastAsia="Times New Roman" w:hAnsi="Times New Roman" w:cs="Times New Roman"/>
          <w:kern w:val="0"/>
          <w:lang w:eastAsia="es-CO"/>
          <w14:ligatures w14:val="none"/>
        </w:rPr>
        <w:t xml:space="preserve"> define</w:t>
      </w:r>
      <w:r w:rsidRPr="00323267">
        <w:rPr>
          <w:rFonts w:ascii="Times New Roman" w:eastAsia="Times New Roman" w:hAnsi="Times New Roman" w:cs="Times New Roman"/>
          <w:kern w:val="0"/>
          <w:lang w:eastAsia="es-CO"/>
          <w14:ligatures w14:val="none"/>
        </w:rPr>
        <w:t xml:space="preserve"> los entornos seguros de aprendizaje como aquellos espacios que garantizan la protección física, emocional y psicológica de los estudiantes, promoviendo condiciones favorables para el aprendizaje, la inclusión, la participación y el desarrollo integral. Desde esta perspectiva, la seguridad trasciende la infraestructura física e involucra relaciones respetuosas, cultura de paz y bienestar socioemocional.</w:t>
      </w:r>
    </w:p>
    <w:p w14:paraId="195EA2CF" w14:textId="7F23613B"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eastAsia="es-CO"/>
          <w14:ligatures w14:val="none"/>
        </w:rPr>
        <w:t xml:space="preserve">Por su parte, </w:t>
      </w:r>
      <w:r w:rsidR="007334FD" w:rsidRPr="00323267">
        <w:rPr>
          <w:rFonts w:ascii="Times New Roman" w:eastAsia="Times New Roman" w:hAnsi="Times New Roman" w:cs="Times New Roman"/>
          <w:kern w:val="0"/>
          <w:lang w:eastAsia="es-CO"/>
          <w14:ligatures w14:val="none"/>
        </w:rPr>
        <w:t>UNICEF</w:t>
      </w:r>
      <w:r w:rsidR="007334FD">
        <w:rPr>
          <w:rFonts w:ascii="Times New Roman" w:eastAsia="Times New Roman" w:hAnsi="Times New Roman" w:cs="Times New Roman"/>
          <w:kern w:val="0"/>
          <w:lang w:eastAsia="es-CO"/>
          <w14:ligatures w14:val="none"/>
        </w:rPr>
        <w:t xml:space="preserve"> (2022)</w:t>
      </w:r>
      <w:r w:rsidRPr="00323267">
        <w:rPr>
          <w:rFonts w:ascii="Times New Roman" w:eastAsia="Times New Roman" w:hAnsi="Times New Roman" w:cs="Times New Roman"/>
          <w:kern w:val="0"/>
          <w:lang w:eastAsia="es-CO"/>
          <w14:ligatures w14:val="none"/>
        </w:rPr>
        <w:t xml:space="preserve"> señala que un entorno seguro es aquel que protege a niños, niñas y adolescentes frente a cualquier forma de violencia, explotación, abuso o discriminación, garantizando simultáneamente el acceso equitativo a oportunidades educativas de calidad. Esta definición enfatiza la corresponsabilidad entre familia, escuela, comunidad e instituciones del Estado para asegurar el desarrollo integral de los estudiantes.</w:t>
      </w:r>
    </w:p>
    <w:p w14:paraId="5E98AE52"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eastAsia="es-CO"/>
          <w14:ligatures w14:val="none"/>
        </w:rPr>
        <w:t>Desde la perspectiva de la educación inclusiva, el Ministerio de Educación Nacional de Colombia plantea que los entornos seguros constituyen escenarios protectores donde se reconocen y valoran las diferencias individuales, se promueve la participación efectiva de todos los estudiantes y se eliminan las barreras que limitan el aprendizaje, la convivencia y la permanencia escolar. En este sentido, la seguridad se relaciona estrechamente con la accesibilidad, la inclusión y el respeto por la diversidad.</w:t>
      </w:r>
    </w:p>
    <w:p w14:paraId="226478CD"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eastAsia="es-CO"/>
          <w14:ligatures w14:val="none"/>
        </w:rPr>
        <w:t>La literatura científica contemporánea amplía esta concepción al considerar que los entornos seguros integran componentes físicos, psicológicos y sociales. Según Bronfenbrenner, el desarrollo humano depende de sistemas de interacción que deben ofrecer condiciones de protección, apoyo y reconocimiento. Desde esta visión ecológica, un entorno seguro se configura mediante relaciones positivas entre estudiantes, docentes, familias y comunidad, favoreciendo el bienestar y la construcción de proyectos de vida saludables.</w:t>
      </w:r>
    </w:p>
    <w:p w14:paraId="037B115D"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eastAsia="es-CO"/>
          <w14:ligatures w14:val="none"/>
        </w:rPr>
        <w:t>En el contexto de la convivencia escolar, un entorno seguro se entiende como aquel que fomenta el respeto mutuo, la resolución pacífica de conflictos, la participación democrática y la prevención de conductas de riesgo. La legislación colombiana, especialmente la Ley 1620 de 2013, reconoce que la escuela debe constituirse en un escenario protector que garantice los derechos humanos, sexuales y reproductivos, fortaleciendo la convivencia pacífica y la formación ciudadana.</w:t>
      </w:r>
    </w:p>
    <w:p w14:paraId="2355DBCD"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eastAsia="es-CO"/>
          <w14:ligatures w14:val="none"/>
        </w:rPr>
        <w:t xml:space="preserve">Las investigaciones recientes sobre bienestar escolar destacan que los entornos seguros incluyen además una dimensión emocional. Autores como Jonathan Cohen sostienen que un entorno seguro es aquel donde los estudiantes se sienten valorados, escuchados, respetados y apoyados </w:t>
      </w:r>
      <w:r w:rsidRPr="00323267">
        <w:rPr>
          <w:rFonts w:ascii="Times New Roman" w:eastAsia="Times New Roman" w:hAnsi="Times New Roman" w:cs="Times New Roman"/>
          <w:kern w:val="0"/>
          <w:lang w:eastAsia="es-CO"/>
          <w14:ligatures w14:val="none"/>
        </w:rPr>
        <w:lastRenderedPageBreak/>
        <w:t>por la comunidad educativa, generando sentido de pertenencia, confianza y compromiso con el aprendizaje.</w:t>
      </w:r>
    </w:p>
    <w:p w14:paraId="2FDE1819"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eastAsia="es-CO"/>
          <w14:ligatures w14:val="none"/>
        </w:rPr>
        <w:t>En escenarios mediados por tecnologías emergentes, el concepto incorpora igualmente la seguridad digital. Un entorno seguro implica garantizar la protección de datos personales, la prevención del ciberacoso, el uso ético de la inteligencia artificial y la promoción de competencias digitales responsables, favoreciendo experiencias educativas accesibles, inclusivas y libres de riesgos tecnológicos.</w:t>
      </w:r>
    </w:p>
    <w:p w14:paraId="764F3BA3"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eastAsia="es-CO"/>
          <w14:ligatures w14:val="none"/>
        </w:rPr>
        <w:t>A partir de la integración de estas perspectivas, puede proponerse la siguiente definición académica:</w:t>
      </w:r>
    </w:p>
    <w:p w14:paraId="58AFE422" w14:textId="3C8F5999"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EA6E9A">
        <w:rPr>
          <w:rFonts w:ascii="Times New Roman" w:eastAsia="Times New Roman" w:hAnsi="Times New Roman" w:cs="Times New Roman"/>
          <w:kern w:val="0"/>
          <w:lang w:eastAsia="es-CO"/>
          <w14:ligatures w14:val="none"/>
        </w:rPr>
        <w:t xml:space="preserve">Los entornos seguros son </w:t>
      </w:r>
      <w:r w:rsidR="003758CA" w:rsidRPr="00EA6E9A">
        <w:rPr>
          <w:rFonts w:ascii="Times New Roman" w:eastAsia="Times New Roman" w:hAnsi="Times New Roman" w:cs="Times New Roman"/>
          <w:kern w:val="0"/>
          <w:lang w:eastAsia="es-CO"/>
          <w14:ligatures w14:val="none"/>
        </w:rPr>
        <w:t>E</w:t>
      </w:r>
      <w:r w:rsidRPr="00EA6E9A">
        <w:rPr>
          <w:rFonts w:ascii="Times New Roman" w:eastAsia="Times New Roman" w:hAnsi="Times New Roman" w:cs="Times New Roman"/>
          <w:kern w:val="0"/>
          <w:lang w:eastAsia="es-CO"/>
          <w14:ligatures w14:val="none"/>
        </w:rPr>
        <w:t>cosistemas educativos, físicos y virtuales, caracterizados por condiciones de protección integral, bienestar, inclusión, accesibilidad, respeto por la diversidad y garantía de derechos, que favorecen el desarrollo humano, la participación activa, el aprendizaje significativo y la convivencia pacífica, mediante la prevención de riesgos físicos, emocionales, sociales y digitales, en corresponsabilidad entre las instituciones, las familias y la comunidad.</w:t>
      </w:r>
    </w:p>
    <w:p w14:paraId="6ECFD95F" w14:textId="77777777" w:rsidR="00323267" w:rsidRPr="00323267" w:rsidRDefault="00323267" w:rsidP="00323267">
      <w:pPr>
        <w:spacing w:before="100" w:beforeAutospacing="1" w:after="100" w:afterAutospacing="1" w:line="240" w:lineRule="auto"/>
        <w:outlineLvl w:val="2"/>
        <w:rPr>
          <w:rFonts w:ascii="Times New Roman" w:eastAsia="Times New Roman" w:hAnsi="Times New Roman" w:cs="Times New Roman"/>
          <w:b/>
          <w:bCs/>
          <w:kern w:val="0"/>
          <w:sz w:val="27"/>
          <w:szCs w:val="27"/>
          <w:lang w:val="en-US" w:eastAsia="es-CO"/>
          <w14:ligatures w14:val="none"/>
        </w:rPr>
      </w:pPr>
      <w:r w:rsidRPr="00323267">
        <w:rPr>
          <w:rFonts w:ascii="Times New Roman" w:eastAsia="Times New Roman" w:hAnsi="Times New Roman" w:cs="Times New Roman"/>
          <w:b/>
          <w:bCs/>
          <w:kern w:val="0"/>
          <w:sz w:val="27"/>
          <w:szCs w:val="27"/>
          <w:lang w:val="en-US" w:eastAsia="es-CO"/>
          <w14:ligatures w14:val="none"/>
        </w:rPr>
        <w:t>Referencias</w:t>
      </w:r>
    </w:p>
    <w:p w14:paraId="36D2F65E"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val="en-US" w:eastAsia="es-CO"/>
          <w14:ligatures w14:val="none"/>
        </w:rPr>
      </w:pPr>
      <w:r w:rsidRPr="00323267">
        <w:rPr>
          <w:rFonts w:ascii="Times New Roman" w:eastAsia="Times New Roman" w:hAnsi="Times New Roman" w:cs="Times New Roman"/>
          <w:kern w:val="0"/>
          <w:lang w:val="en-US" w:eastAsia="es-CO"/>
          <w14:ligatures w14:val="none"/>
        </w:rPr>
        <w:t xml:space="preserve">UNESCO. (2023). </w:t>
      </w:r>
      <w:r w:rsidRPr="00323267">
        <w:rPr>
          <w:rFonts w:ascii="Times New Roman" w:eastAsia="Times New Roman" w:hAnsi="Times New Roman" w:cs="Times New Roman"/>
          <w:i/>
          <w:iCs/>
          <w:kern w:val="0"/>
          <w:lang w:val="en-US" w:eastAsia="es-CO"/>
          <w14:ligatures w14:val="none"/>
        </w:rPr>
        <w:t>Global guidance on creating safe learning environments</w:t>
      </w:r>
      <w:r w:rsidRPr="00323267">
        <w:rPr>
          <w:rFonts w:ascii="Times New Roman" w:eastAsia="Times New Roman" w:hAnsi="Times New Roman" w:cs="Times New Roman"/>
          <w:kern w:val="0"/>
          <w:lang w:val="en-US" w:eastAsia="es-CO"/>
          <w14:ligatures w14:val="none"/>
        </w:rPr>
        <w:t>.</w:t>
      </w:r>
    </w:p>
    <w:p w14:paraId="56423A81"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val="en-US" w:eastAsia="es-CO"/>
          <w14:ligatures w14:val="none"/>
        </w:rPr>
      </w:pPr>
      <w:r w:rsidRPr="00323267">
        <w:rPr>
          <w:rFonts w:ascii="Times New Roman" w:eastAsia="Times New Roman" w:hAnsi="Times New Roman" w:cs="Times New Roman"/>
          <w:kern w:val="0"/>
          <w:lang w:val="en-US" w:eastAsia="es-CO"/>
          <w14:ligatures w14:val="none"/>
        </w:rPr>
        <w:t xml:space="preserve">UNICEF. (2022). </w:t>
      </w:r>
      <w:r w:rsidRPr="00323267">
        <w:rPr>
          <w:rFonts w:ascii="Times New Roman" w:eastAsia="Times New Roman" w:hAnsi="Times New Roman" w:cs="Times New Roman"/>
          <w:i/>
          <w:iCs/>
          <w:kern w:val="0"/>
          <w:lang w:val="en-US" w:eastAsia="es-CO"/>
          <w14:ligatures w14:val="none"/>
        </w:rPr>
        <w:t>Safe and protective learning environments for children and adolescents</w:t>
      </w:r>
      <w:r w:rsidRPr="00323267">
        <w:rPr>
          <w:rFonts w:ascii="Times New Roman" w:eastAsia="Times New Roman" w:hAnsi="Times New Roman" w:cs="Times New Roman"/>
          <w:kern w:val="0"/>
          <w:lang w:val="en-US" w:eastAsia="es-CO"/>
          <w14:ligatures w14:val="none"/>
        </w:rPr>
        <w:t>.</w:t>
      </w:r>
    </w:p>
    <w:p w14:paraId="45CB5635"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eastAsia="es-CO"/>
          <w14:ligatures w14:val="none"/>
        </w:rPr>
        <w:t xml:space="preserve">Ministerio de Educación Nacional de Colombia. (2022). </w:t>
      </w:r>
      <w:r w:rsidRPr="00323267">
        <w:rPr>
          <w:rFonts w:ascii="Times New Roman" w:eastAsia="Times New Roman" w:hAnsi="Times New Roman" w:cs="Times New Roman"/>
          <w:i/>
          <w:iCs/>
          <w:kern w:val="0"/>
          <w:lang w:eastAsia="es-CO"/>
          <w14:ligatures w14:val="none"/>
        </w:rPr>
        <w:t>Orientaciones para la construcción de entornos escolares protectores e inclusivos</w:t>
      </w:r>
      <w:r w:rsidRPr="00323267">
        <w:rPr>
          <w:rFonts w:ascii="Times New Roman" w:eastAsia="Times New Roman" w:hAnsi="Times New Roman" w:cs="Times New Roman"/>
          <w:kern w:val="0"/>
          <w:lang w:eastAsia="es-CO"/>
          <w14:ligatures w14:val="none"/>
        </w:rPr>
        <w:t>.</w:t>
      </w:r>
    </w:p>
    <w:p w14:paraId="24B705F3"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val="en-US" w:eastAsia="es-CO"/>
          <w14:ligatures w14:val="none"/>
        </w:rPr>
      </w:pPr>
      <w:r w:rsidRPr="00323267">
        <w:rPr>
          <w:rFonts w:ascii="Times New Roman" w:eastAsia="Times New Roman" w:hAnsi="Times New Roman" w:cs="Times New Roman"/>
          <w:kern w:val="0"/>
          <w:lang w:val="en-US" w:eastAsia="es-CO"/>
          <w14:ligatures w14:val="none"/>
        </w:rPr>
        <w:t xml:space="preserve">Bronfenbrenner. (2005). </w:t>
      </w:r>
      <w:r w:rsidRPr="00323267">
        <w:rPr>
          <w:rFonts w:ascii="Times New Roman" w:eastAsia="Times New Roman" w:hAnsi="Times New Roman" w:cs="Times New Roman"/>
          <w:i/>
          <w:iCs/>
          <w:kern w:val="0"/>
          <w:lang w:val="en-US" w:eastAsia="es-CO"/>
          <w14:ligatures w14:val="none"/>
        </w:rPr>
        <w:t>Making Human Beings Human: Bioecological Perspectives on Human Development</w:t>
      </w:r>
      <w:r w:rsidRPr="00323267">
        <w:rPr>
          <w:rFonts w:ascii="Times New Roman" w:eastAsia="Times New Roman" w:hAnsi="Times New Roman" w:cs="Times New Roman"/>
          <w:kern w:val="0"/>
          <w:lang w:val="en-US" w:eastAsia="es-CO"/>
          <w14:ligatures w14:val="none"/>
        </w:rPr>
        <w:t>. Sage.</w:t>
      </w:r>
    </w:p>
    <w:p w14:paraId="1C6BF4D3"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val="en-US" w:eastAsia="es-CO"/>
          <w14:ligatures w14:val="none"/>
        </w:rPr>
        <w:t xml:space="preserve">Jonathan Cohen, McCabe, L., Michelli, N., &amp; Pickeral, T. (2009). School Climate: Research, Policy, Practice, and Teacher Education. </w:t>
      </w:r>
      <w:r w:rsidRPr="00323267">
        <w:rPr>
          <w:rFonts w:ascii="Times New Roman" w:eastAsia="Times New Roman" w:hAnsi="Times New Roman" w:cs="Times New Roman"/>
          <w:i/>
          <w:iCs/>
          <w:kern w:val="0"/>
          <w:lang w:eastAsia="es-CO"/>
          <w14:ligatures w14:val="none"/>
        </w:rPr>
        <w:t>Teachers College Record, 111</w:t>
      </w:r>
      <w:r w:rsidRPr="00323267">
        <w:rPr>
          <w:rFonts w:ascii="Times New Roman" w:eastAsia="Times New Roman" w:hAnsi="Times New Roman" w:cs="Times New Roman"/>
          <w:kern w:val="0"/>
          <w:lang w:eastAsia="es-CO"/>
          <w14:ligatures w14:val="none"/>
        </w:rPr>
        <w:t>(1), 180–213.</w:t>
      </w:r>
    </w:p>
    <w:p w14:paraId="749C094F"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eastAsia="es-CO"/>
          <w14:ligatures w14:val="none"/>
        </w:rPr>
        <w:t>Ley 1620 de 2013. Congreso de la República de Colombia. (2013). Ley por la cual se crea el Sistema Nacional de Convivencia Escolar y Formación para el Ejercicio de los Derechos Humanos, la Educación para la Sexualidad y la Prevención y Mitigación de la Violencia Escolar.</w:t>
      </w:r>
    </w:p>
    <w:p w14:paraId="6569A13A" w14:textId="77777777" w:rsidR="00EA6E9A" w:rsidRDefault="00EA6E9A"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p>
    <w:p w14:paraId="609E780E" w14:textId="77777777" w:rsidR="00EA6E9A" w:rsidRDefault="00EA6E9A"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p>
    <w:p w14:paraId="0C5A6315" w14:textId="77777777" w:rsidR="00EA6E9A" w:rsidRDefault="00EA6E9A"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p>
    <w:p w14:paraId="17080DF2" w14:textId="5202E960"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eastAsia="es-CO"/>
          <w14:ligatures w14:val="none"/>
        </w:rPr>
        <w:t xml:space="preserve">Desde la perspectiva de los organismos internacionales, tanto la UNESCO como la OCDE han desarrollado marcos conceptuales relacionados con los </w:t>
      </w:r>
      <w:r w:rsidRPr="00323267">
        <w:rPr>
          <w:rFonts w:ascii="Times New Roman" w:eastAsia="Times New Roman" w:hAnsi="Times New Roman" w:cs="Times New Roman"/>
          <w:b/>
          <w:bCs/>
          <w:kern w:val="0"/>
          <w:lang w:eastAsia="es-CO"/>
          <w14:ligatures w14:val="none"/>
        </w:rPr>
        <w:t>entornos protectores</w:t>
      </w:r>
      <w:r w:rsidRPr="00323267">
        <w:rPr>
          <w:rFonts w:ascii="Times New Roman" w:eastAsia="Times New Roman" w:hAnsi="Times New Roman" w:cs="Times New Roman"/>
          <w:kern w:val="0"/>
          <w:lang w:eastAsia="es-CO"/>
          <w14:ligatures w14:val="none"/>
        </w:rPr>
        <w:t xml:space="preserve">, aunque utilizan con mayor frecuencia expresiones como </w:t>
      </w:r>
      <w:r w:rsidRPr="00323267">
        <w:rPr>
          <w:rFonts w:ascii="Times New Roman" w:eastAsia="Times New Roman" w:hAnsi="Times New Roman" w:cs="Times New Roman"/>
          <w:i/>
          <w:iCs/>
          <w:kern w:val="0"/>
          <w:lang w:eastAsia="es-CO"/>
          <w14:ligatures w14:val="none"/>
        </w:rPr>
        <w:t>safe learning environments</w:t>
      </w:r>
      <w:r w:rsidRPr="00323267">
        <w:rPr>
          <w:rFonts w:ascii="Times New Roman" w:eastAsia="Times New Roman" w:hAnsi="Times New Roman" w:cs="Times New Roman"/>
          <w:kern w:val="0"/>
          <w:lang w:eastAsia="es-CO"/>
          <w14:ligatures w14:val="none"/>
        </w:rPr>
        <w:t xml:space="preserve">, </w:t>
      </w:r>
      <w:r w:rsidRPr="00323267">
        <w:rPr>
          <w:rFonts w:ascii="Times New Roman" w:eastAsia="Times New Roman" w:hAnsi="Times New Roman" w:cs="Times New Roman"/>
          <w:i/>
          <w:iCs/>
          <w:kern w:val="0"/>
          <w:lang w:eastAsia="es-CO"/>
          <w14:ligatures w14:val="none"/>
        </w:rPr>
        <w:t xml:space="preserve">protective learning </w:t>
      </w:r>
      <w:r w:rsidRPr="00323267">
        <w:rPr>
          <w:rFonts w:ascii="Times New Roman" w:eastAsia="Times New Roman" w:hAnsi="Times New Roman" w:cs="Times New Roman"/>
          <w:i/>
          <w:iCs/>
          <w:kern w:val="0"/>
          <w:lang w:eastAsia="es-CO"/>
          <w14:ligatures w14:val="none"/>
        </w:rPr>
        <w:lastRenderedPageBreak/>
        <w:t>environments</w:t>
      </w:r>
      <w:r w:rsidRPr="00323267">
        <w:rPr>
          <w:rFonts w:ascii="Times New Roman" w:eastAsia="Times New Roman" w:hAnsi="Times New Roman" w:cs="Times New Roman"/>
          <w:kern w:val="0"/>
          <w:lang w:eastAsia="es-CO"/>
          <w14:ligatures w14:val="none"/>
        </w:rPr>
        <w:t xml:space="preserve">, </w:t>
      </w:r>
      <w:r w:rsidRPr="00323267">
        <w:rPr>
          <w:rFonts w:ascii="Times New Roman" w:eastAsia="Times New Roman" w:hAnsi="Times New Roman" w:cs="Times New Roman"/>
          <w:i/>
          <w:iCs/>
          <w:kern w:val="0"/>
          <w:lang w:eastAsia="es-CO"/>
          <w14:ligatures w14:val="none"/>
        </w:rPr>
        <w:t>safe and supportive school climate</w:t>
      </w:r>
      <w:r w:rsidRPr="00323267">
        <w:rPr>
          <w:rFonts w:ascii="Times New Roman" w:eastAsia="Times New Roman" w:hAnsi="Times New Roman" w:cs="Times New Roman"/>
          <w:kern w:val="0"/>
          <w:lang w:eastAsia="es-CO"/>
          <w14:ligatures w14:val="none"/>
        </w:rPr>
        <w:t xml:space="preserve"> o </w:t>
      </w:r>
      <w:r w:rsidRPr="00323267">
        <w:rPr>
          <w:rFonts w:ascii="Times New Roman" w:eastAsia="Times New Roman" w:hAnsi="Times New Roman" w:cs="Times New Roman"/>
          <w:i/>
          <w:iCs/>
          <w:kern w:val="0"/>
          <w:lang w:eastAsia="es-CO"/>
          <w14:ligatures w14:val="none"/>
        </w:rPr>
        <w:t>safe, inclusive and equitable learning environments</w:t>
      </w:r>
      <w:r w:rsidRPr="00323267">
        <w:rPr>
          <w:rFonts w:ascii="Times New Roman" w:eastAsia="Times New Roman" w:hAnsi="Times New Roman" w:cs="Times New Roman"/>
          <w:kern w:val="0"/>
          <w:lang w:eastAsia="es-CO"/>
          <w14:ligatures w14:val="none"/>
        </w:rPr>
        <w:t>. Estas nociones convergen en la idea de que la escuela debe constituirse en un espacio de protección integral para el desarrollo humano, el aprendizaje y el bienestar.</w:t>
      </w:r>
    </w:p>
    <w:p w14:paraId="2B0BC5E5" w14:textId="77777777" w:rsidR="00323267" w:rsidRPr="00323267" w:rsidRDefault="00323267" w:rsidP="00323267">
      <w:pPr>
        <w:spacing w:before="100" w:beforeAutospacing="1" w:after="100" w:afterAutospacing="1" w:line="240" w:lineRule="auto"/>
        <w:outlineLvl w:val="2"/>
        <w:rPr>
          <w:rFonts w:ascii="Times New Roman" w:eastAsia="Times New Roman" w:hAnsi="Times New Roman" w:cs="Times New Roman"/>
          <w:b/>
          <w:bCs/>
          <w:kern w:val="0"/>
          <w:sz w:val="27"/>
          <w:szCs w:val="27"/>
          <w:lang w:eastAsia="es-CO"/>
          <w14:ligatures w14:val="none"/>
        </w:rPr>
      </w:pPr>
      <w:r w:rsidRPr="00323267">
        <w:rPr>
          <w:rFonts w:ascii="Times New Roman" w:eastAsia="Times New Roman" w:hAnsi="Times New Roman" w:cs="Times New Roman"/>
          <w:b/>
          <w:bCs/>
          <w:kern w:val="0"/>
          <w:sz w:val="27"/>
          <w:szCs w:val="27"/>
          <w:lang w:eastAsia="es-CO"/>
          <w14:ligatures w14:val="none"/>
        </w:rPr>
        <w:t>Definición de la UNESCO sobre Entornos Protectores</w:t>
      </w:r>
    </w:p>
    <w:p w14:paraId="7DB3B8E1" w14:textId="128DDA03"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eastAsia="es-CO"/>
          <w14:ligatures w14:val="none"/>
        </w:rPr>
        <w:t>La UNESCO</w:t>
      </w:r>
      <w:r w:rsidR="007334FD">
        <w:rPr>
          <w:rFonts w:ascii="Times New Roman" w:eastAsia="Times New Roman" w:hAnsi="Times New Roman" w:cs="Times New Roman"/>
          <w:kern w:val="0"/>
          <w:lang w:eastAsia="es-CO"/>
          <w14:ligatures w14:val="none"/>
        </w:rPr>
        <w:t xml:space="preserve"> (2025)</w:t>
      </w:r>
      <w:r w:rsidRPr="00323267">
        <w:rPr>
          <w:rFonts w:ascii="Times New Roman" w:eastAsia="Times New Roman" w:hAnsi="Times New Roman" w:cs="Times New Roman"/>
          <w:kern w:val="0"/>
          <w:lang w:eastAsia="es-CO"/>
          <w14:ligatures w14:val="none"/>
        </w:rPr>
        <w:t xml:space="preserve"> concibe los entornos protectores como espacios educativos seguros, inclusivos y de apoyo que garantizan el bienestar físico, emocional, psicológico y social de los estudiantes, previniendo toda forma de violencia, discriminación, abuso o exclusión y promoviendo condiciones que permitan aprender, participar y desarrollarse plenamente. La organización enfatiza que estos entornos deben construirse mediante un enfoque holístico que involucre a toda la comunidad educativa y a otros actores sociales comprometidos con la protección de la infancia y la juventud. </w:t>
      </w:r>
    </w:p>
    <w:p w14:paraId="72C89602" w14:textId="57775AF6"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eastAsia="es-CO"/>
          <w14:ligatures w14:val="none"/>
        </w:rPr>
        <w:t>De manera más específica, la UNESCO</w:t>
      </w:r>
      <w:r w:rsidR="007334FD">
        <w:rPr>
          <w:rFonts w:ascii="Times New Roman" w:eastAsia="Times New Roman" w:hAnsi="Times New Roman" w:cs="Times New Roman"/>
          <w:kern w:val="0"/>
          <w:lang w:eastAsia="es-CO"/>
          <w14:ligatures w14:val="none"/>
        </w:rPr>
        <w:t xml:space="preserve"> (2026)</w:t>
      </w:r>
      <w:r w:rsidRPr="00323267">
        <w:rPr>
          <w:rFonts w:ascii="Times New Roman" w:eastAsia="Times New Roman" w:hAnsi="Times New Roman" w:cs="Times New Roman"/>
          <w:kern w:val="0"/>
          <w:lang w:eastAsia="es-CO"/>
          <w14:ligatures w14:val="none"/>
        </w:rPr>
        <w:t xml:space="preserve"> define los entornos seguros de aprendizaje como escenarios diseñados para promover la seguridad, el bienestar, la inclusión, la confianza y el respeto, favoreciendo la resiliencia, la participación y el éxito educativo de todos los estudiantes. </w:t>
      </w:r>
    </w:p>
    <w:p w14:paraId="05A8FF52" w14:textId="2721A720" w:rsidR="00323267" w:rsidRPr="00AA31B8" w:rsidRDefault="00323267" w:rsidP="00323267">
      <w:pPr>
        <w:spacing w:before="100" w:beforeAutospacing="1" w:after="100" w:afterAutospacing="1" w:line="240" w:lineRule="auto"/>
        <w:rPr>
          <w:rFonts w:ascii="Times New Roman" w:eastAsia="Times New Roman" w:hAnsi="Times New Roman" w:cs="Times New Roman"/>
          <w:i/>
          <w:iCs/>
          <w:kern w:val="0"/>
          <w:lang w:eastAsia="es-CO"/>
          <w14:ligatures w14:val="none"/>
        </w:rPr>
      </w:pPr>
      <w:r w:rsidRPr="00323267">
        <w:rPr>
          <w:rFonts w:ascii="Times New Roman" w:eastAsia="Times New Roman" w:hAnsi="Times New Roman" w:cs="Times New Roman"/>
          <w:kern w:val="0"/>
          <w:lang w:eastAsia="es-CO"/>
          <w14:ligatures w14:val="none"/>
        </w:rPr>
        <w:t>Una definición integradora derivada de los documentos de la UNESCO</w:t>
      </w:r>
      <w:r w:rsidR="00AA31B8">
        <w:rPr>
          <w:rFonts w:ascii="Times New Roman" w:eastAsia="Times New Roman" w:hAnsi="Times New Roman" w:cs="Times New Roman"/>
          <w:kern w:val="0"/>
          <w:lang w:eastAsia="es-CO"/>
          <w14:ligatures w14:val="none"/>
        </w:rPr>
        <w:t xml:space="preserve"> (2024)</w:t>
      </w:r>
      <w:r w:rsidRPr="00323267">
        <w:rPr>
          <w:rFonts w:ascii="Times New Roman" w:eastAsia="Times New Roman" w:hAnsi="Times New Roman" w:cs="Times New Roman"/>
          <w:kern w:val="0"/>
          <w:lang w:eastAsia="es-CO"/>
          <w14:ligatures w14:val="none"/>
        </w:rPr>
        <w:t>:</w:t>
      </w:r>
      <w:r w:rsidR="00AA31B8">
        <w:rPr>
          <w:rFonts w:ascii="Times New Roman" w:eastAsia="Times New Roman" w:hAnsi="Times New Roman" w:cs="Times New Roman"/>
          <w:kern w:val="0"/>
          <w:lang w:eastAsia="es-CO"/>
          <w14:ligatures w14:val="none"/>
        </w:rPr>
        <w:t xml:space="preserve"> </w:t>
      </w:r>
      <w:r w:rsidRPr="00AA31B8">
        <w:rPr>
          <w:rFonts w:ascii="Times New Roman" w:eastAsia="Times New Roman" w:hAnsi="Times New Roman" w:cs="Times New Roman"/>
          <w:i/>
          <w:iCs/>
          <w:kern w:val="0"/>
          <w:lang w:eastAsia="es-CO"/>
          <w14:ligatures w14:val="none"/>
        </w:rPr>
        <w:t xml:space="preserve">Los entornos protectores son ecosistemas educativos que garantizan la seguridad física, emocional, psicológica y social de los estudiantes mediante la prevención de la violencia, la promoción de relaciones respetuosas, la inclusión, la equidad y el bienestar integral, favoreciendo el aprendizaje y el desarrollo humano sostenible. </w:t>
      </w:r>
    </w:p>
    <w:p w14:paraId="3F57939A" w14:textId="77777777" w:rsidR="00323267" w:rsidRPr="00323267" w:rsidRDefault="00323267" w:rsidP="00323267">
      <w:pPr>
        <w:spacing w:before="100" w:beforeAutospacing="1" w:after="100" w:afterAutospacing="1" w:line="240" w:lineRule="auto"/>
        <w:outlineLvl w:val="2"/>
        <w:rPr>
          <w:rFonts w:ascii="Times New Roman" w:eastAsia="Times New Roman" w:hAnsi="Times New Roman" w:cs="Times New Roman"/>
          <w:b/>
          <w:bCs/>
          <w:kern w:val="0"/>
          <w:sz w:val="27"/>
          <w:szCs w:val="27"/>
          <w:lang w:eastAsia="es-CO"/>
          <w14:ligatures w14:val="none"/>
        </w:rPr>
      </w:pPr>
      <w:r w:rsidRPr="00323267">
        <w:rPr>
          <w:rFonts w:ascii="Times New Roman" w:eastAsia="Times New Roman" w:hAnsi="Times New Roman" w:cs="Times New Roman"/>
          <w:b/>
          <w:bCs/>
          <w:kern w:val="0"/>
          <w:sz w:val="27"/>
          <w:szCs w:val="27"/>
          <w:lang w:eastAsia="es-CO"/>
          <w14:ligatures w14:val="none"/>
        </w:rPr>
        <w:t>Definición de la OCDE sobre Entornos Protectores</w:t>
      </w:r>
    </w:p>
    <w:p w14:paraId="1DC6583C" w14:textId="61C9F0F5" w:rsidR="00323267" w:rsidRPr="00AA31B8" w:rsidRDefault="00323267" w:rsidP="00323267">
      <w:pPr>
        <w:spacing w:before="100" w:beforeAutospacing="1" w:after="100" w:afterAutospacing="1" w:line="240" w:lineRule="auto"/>
        <w:rPr>
          <w:rFonts w:ascii="Times New Roman" w:eastAsia="Times New Roman" w:hAnsi="Times New Roman" w:cs="Times New Roman"/>
          <w:i/>
          <w:iCs/>
          <w:kern w:val="0"/>
          <w:lang w:eastAsia="es-CO"/>
          <w14:ligatures w14:val="none"/>
        </w:rPr>
      </w:pPr>
      <w:r w:rsidRPr="00323267">
        <w:rPr>
          <w:rFonts w:ascii="Times New Roman" w:eastAsia="Times New Roman" w:hAnsi="Times New Roman" w:cs="Times New Roman"/>
          <w:kern w:val="0"/>
          <w:lang w:eastAsia="es-CO"/>
          <w14:ligatures w14:val="none"/>
        </w:rPr>
        <w:t>La OCDE</w:t>
      </w:r>
      <w:r w:rsidR="00AA31B8">
        <w:rPr>
          <w:rFonts w:ascii="Times New Roman" w:eastAsia="Times New Roman" w:hAnsi="Times New Roman" w:cs="Times New Roman"/>
          <w:kern w:val="0"/>
          <w:lang w:eastAsia="es-CO"/>
          <w14:ligatures w14:val="none"/>
        </w:rPr>
        <w:t xml:space="preserve"> (2025)</w:t>
      </w:r>
      <w:r w:rsidRPr="00323267">
        <w:rPr>
          <w:rFonts w:ascii="Times New Roman" w:eastAsia="Times New Roman" w:hAnsi="Times New Roman" w:cs="Times New Roman"/>
          <w:kern w:val="0"/>
          <w:lang w:eastAsia="es-CO"/>
          <w14:ligatures w14:val="none"/>
        </w:rPr>
        <w:t xml:space="preserve"> no emplea de manera sistemática el término "entornos protectores", pero desarrolla ampliamente el concepto de </w:t>
      </w:r>
      <w:r w:rsidRPr="00323267">
        <w:rPr>
          <w:rFonts w:ascii="Times New Roman" w:eastAsia="Times New Roman" w:hAnsi="Times New Roman" w:cs="Times New Roman"/>
          <w:b/>
          <w:bCs/>
          <w:kern w:val="0"/>
          <w:lang w:eastAsia="es-CO"/>
          <w14:ligatures w14:val="none"/>
        </w:rPr>
        <w:t>entornos seguros y de apoyo para el aprendizaje</w:t>
      </w:r>
      <w:r w:rsidRPr="00323267">
        <w:rPr>
          <w:rFonts w:ascii="Times New Roman" w:eastAsia="Times New Roman" w:hAnsi="Times New Roman" w:cs="Times New Roman"/>
          <w:kern w:val="0"/>
          <w:lang w:eastAsia="es-CO"/>
          <w14:ligatures w14:val="none"/>
        </w:rPr>
        <w:t xml:space="preserve"> (</w:t>
      </w:r>
      <w:r w:rsidRPr="00323267">
        <w:rPr>
          <w:rFonts w:ascii="Times New Roman" w:eastAsia="Times New Roman" w:hAnsi="Times New Roman" w:cs="Times New Roman"/>
          <w:i/>
          <w:iCs/>
          <w:kern w:val="0"/>
          <w:lang w:eastAsia="es-CO"/>
          <w14:ligatures w14:val="none"/>
        </w:rPr>
        <w:t>safe and supportive learning environments</w:t>
      </w:r>
      <w:r w:rsidRPr="00323267">
        <w:rPr>
          <w:rFonts w:ascii="Times New Roman" w:eastAsia="Times New Roman" w:hAnsi="Times New Roman" w:cs="Times New Roman"/>
          <w:kern w:val="0"/>
          <w:lang w:eastAsia="es-CO"/>
          <w14:ligatures w14:val="none"/>
        </w:rPr>
        <w:t xml:space="preserve">). Para esta organización, </w:t>
      </w:r>
      <w:r w:rsidRPr="00AA31B8">
        <w:rPr>
          <w:rFonts w:ascii="Times New Roman" w:eastAsia="Times New Roman" w:hAnsi="Times New Roman" w:cs="Times New Roman"/>
          <w:kern w:val="0"/>
          <w:lang w:eastAsia="es-CO"/>
          <w14:ligatures w14:val="none"/>
        </w:rPr>
        <w:t xml:space="preserve">el </w:t>
      </w:r>
      <w:r w:rsidRPr="00AA31B8">
        <w:rPr>
          <w:rFonts w:ascii="Times New Roman" w:eastAsia="Times New Roman" w:hAnsi="Times New Roman" w:cs="Times New Roman"/>
          <w:i/>
          <w:iCs/>
          <w:kern w:val="0"/>
          <w:lang w:eastAsia="es-CO"/>
          <w14:ligatures w14:val="none"/>
        </w:rPr>
        <w:t xml:space="preserve">entorno escolar comprende las condiciones, relaciones y características institucionales que influyen en el bienestar, la seguridad, la participación y el rendimiento de los estudiantes. </w:t>
      </w:r>
    </w:p>
    <w:p w14:paraId="5D33AEBE"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AA31B8">
        <w:rPr>
          <w:rFonts w:ascii="Times New Roman" w:eastAsia="Times New Roman" w:hAnsi="Times New Roman" w:cs="Times New Roman"/>
          <w:kern w:val="0"/>
          <w:lang w:eastAsia="es-CO"/>
          <w14:ligatures w14:val="none"/>
        </w:rPr>
        <w:t>La OCDE sostiene que un entorno seguro y de apoyo favorece el aprendizaje, la autoestima, el bienestar socioemocional y la protección frente a conductas de riesgo.</w:t>
      </w:r>
      <w:r w:rsidRPr="00323267">
        <w:rPr>
          <w:rFonts w:ascii="Times New Roman" w:eastAsia="Times New Roman" w:hAnsi="Times New Roman" w:cs="Times New Roman"/>
          <w:kern w:val="0"/>
          <w:lang w:eastAsia="es-CO"/>
          <w14:ligatures w14:val="none"/>
        </w:rPr>
        <w:t xml:space="preserve"> Asimismo, destaca que el clima escolar positivo se caracteriza por relaciones respetuosas, disciplina constructiva, sentido de pertenencia, apoyo docente y participación de las familias. </w:t>
      </w:r>
    </w:p>
    <w:p w14:paraId="22C38AAA"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eastAsia="es-CO"/>
          <w14:ligatures w14:val="none"/>
        </w:rPr>
        <w:t>A partir de sus informes PISA y de sus estudios sobre clima escolar, la definición conceptual puede sintetizarse así:</w:t>
      </w:r>
    </w:p>
    <w:p w14:paraId="42AB54DA"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eastAsia="es-CO"/>
          <w14:ligatures w14:val="none"/>
        </w:rPr>
        <w:t xml:space="preserve">Los entornos protectores son contextos educativos organizados y relacionales que ofrecen condiciones de seguridad, bienestar, apoyo emocional, disciplina positiva y sentido de pertenencia, favoreciendo el aprendizaje, la equidad, la participación y el desarrollo integral de los estudiantes. </w:t>
      </w:r>
    </w:p>
    <w:p w14:paraId="41E318C5" w14:textId="77777777" w:rsidR="00323267" w:rsidRPr="00323267" w:rsidRDefault="00323267" w:rsidP="00323267">
      <w:pPr>
        <w:spacing w:before="100" w:beforeAutospacing="1" w:after="100" w:afterAutospacing="1" w:line="240" w:lineRule="auto"/>
        <w:outlineLvl w:val="2"/>
        <w:rPr>
          <w:rFonts w:ascii="Times New Roman" w:eastAsia="Times New Roman" w:hAnsi="Times New Roman" w:cs="Times New Roman"/>
          <w:b/>
          <w:bCs/>
          <w:kern w:val="0"/>
          <w:sz w:val="27"/>
          <w:szCs w:val="27"/>
          <w:lang w:eastAsia="es-CO"/>
          <w14:ligatures w14:val="none"/>
        </w:rPr>
      </w:pPr>
      <w:r w:rsidRPr="00323267">
        <w:rPr>
          <w:rFonts w:ascii="Times New Roman" w:eastAsia="Times New Roman" w:hAnsi="Times New Roman" w:cs="Times New Roman"/>
          <w:b/>
          <w:bCs/>
          <w:kern w:val="0"/>
          <w:sz w:val="27"/>
          <w:szCs w:val="27"/>
          <w:lang w:eastAsia="es-CO"/>
          <w14:ligatures w14:val="none"/>
        </w:rPr>
        <w:t>Referencias bibliográficas en APA 7.ª edición</w:t>
      </w:r>
    </w:p>
    <w:p w14:paraId="403A14C9"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val="en-US" w:eastAsia="es-CO"/>
          <w14:ligatures w14:val="none"/>
        </w:rPr>
        <w:lastRenderedPageBreak/>
        <w:t xml:space="preserve">UNESCO. (2025). </w:t>
      </w:r>
      <w:r w:rsidRPr="00323267">
        <w:rPr>
          <w:rFonts w:ascii="Times New Roman" w:eastAsia="Times New Roman" w:hAnsi="Times New Roman" w:cs="Times New Roman"/>
          <w:i/>
          <w:iCs/>
          <w:kern w:val="0"/>
          <w:lang w:val="en-US" w:eastAsia="es-CO"/>
          <w14:ligatures w14:val="none"/>
        </w:rPr>
        <w:t>Safe learning environments: Preventing and addressing violence in and around school</w:t>
      </w:r>
      <w:r w:rsidRPr="00323267">
        <w:rPr>
          <w:rFonts w:ascii="Times New Roman" w:eastAsia="Times New Roman" w:hAnsi="Times New Roman" w:cs="Times New Roman"/>
          <w:kern w:val="0"/>
          <w:lang w:val="en-US" w:eastAsia="es-CO"/>
          <w14:ligatures w14:val="none"/>
        </w:rPr>
        <w:t xml:space="preserve">. </w:t>
      </w:r>
      <w:r w:rsidRPr="00323267">
        <w:rPr>
          <w:rFonts w:ascii="Times New Roman" w:eastAsia="Times New Roman" w:hAnsi="Times New Roman" w:cs="Times New Roman"/>
          <w:kern w:val="0"/>
          <w:lang w:eastAsia="es-CO"/>
          <w14:ligatures w14:val="none"/>
        </w:rPr>
        <w:t xml:space="preserve">UNESCO. </w:t>
      </w:r>
      <w:hyperlink r:id="rId4" w:tgtFrame="_new" w:history="1">
        <w:r w:rsidRPr="00323267">
          <w:rPr>
            <w:rFonts w:ascii="Times New Roman" w:eastAsia="Times New Roman" w:hAnsi="Times New Roman" w:cs="Times New Roman"/>
            <w:color w:val="0000FF"/>
            <w:kern w:val="0"/>
            <w:u w:val="single"/>
            <w:lang w:eastAsia="es-CO"/>
            <w14:ligatures w14:val="none"/>
          </w:rPr>
          <w:t>https://www.unesco.org/en/health-education/safe-learning-environments</w:t>
        </w:r>
      </w:hyperlink>
    </w:p>
    <w:p w14:paraId="0F3C26FC"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val="en-US" w:eastAsia="es-CO"/>
          <w14:ligatures w14:val="none"/>
        </w:rPr>
      </w:pPr>
      <w:r w:rsidRPr="00323267">
        <w:rPr>
          <w:rFonts w:ascii="Times New Roman" w:eastAsia="Times New Roman" w:hAnsi="Times New Roman" w:cs="Times New Roman"/>
          <w:kern w:val="0"/>
          <w:lang w:val="en-US" w:eastAsia="es-CO"/>
          <w14:ligatures w14:val="none"/>
        </w:rPr>
        <w:t xml:space="preserve">UNESCO. (2026). </w:t>
      </w:r>
      <w:r w:rsidRPr="00323267">
        <w:rPr>
          <w:rFonts w:ascii="Times New Roman" w:eastAsia="Times New Roman" w:hAnsi="Times New Roman" w:cs="Times New Roman"/>
          <w:i/>
          <w:iCs/>
          <w:kern w:val="0"/>
          <w:lang w:val="en-US" w:eastAsia="es-CO"/>
          <w14:ligatures w14:val="none"/>
        </w:rPr>
        <w:t>Safe to learn and thrive: Ending violence in and through education</w:t>
      </w:r>
      <w:r w:rsidRPr="00323267">
        <w:rPr>
          <w:rFonts w:ascii="Times New Roman" w:eastAsia="Times New Roman" w:hAnsi="Times New Roman" w:cs="Times New Roman"/>
          <w:kern w:val="0"/>
          <w:lang w:val="en-US" w:eastAsia="es-CO"/>
          <w14:ligatures w14:val="none"/>
        </w:rPr>
        <w:t xml:space="preserve">. UNESCO. </w:t>
      </w:r>
    </w:p>
    <w:p w14:paraId="11B03B5C"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val="en-US" w:eastAsia="es-CO"/>
          <w14:ligatures w14:val="none"/>
        </w:rPr>
      </w:pPr>
      <w:r w:rsidRPr="00323267">
        <w:rPr>
          <w:rFonts w:ascii="Times New Roman" w:eastAsia="Times New Roman" w:hAnsi="Times New Roman" w:cs="Times New Roman"/>
          <w:kern w:val="0"/>
          <w:lang w:val="en-US" w:eastAsia="es-CO"/>
          <w14:ligatures w14:val="none"/>
        </w:rPr>
        <w:t xml:space="preserve">UNESCO. (2023). </w:t>
      </w:r>
      <w:r w:rsidRPr="00323267">
        <w:rPr>
          <w:rFonts w:ascii="Times New Roman" w:eastAsia="Times New Roman" w:hAnsi="Times New Roman" w:cs="Times New Roman"/>
          <w:i/>
          <w:iCs/>
          <w:kern w:val="0"/>
          <w:lang w:val="en-US" w:eastAsia="es-CO"/>
          <w14:ligatures w14:val="none"/>
        </w:rPr>
        <w:t>Promoting safe and equitable learning environments</w:t>
      </w:r>
      <w:r w:rsidRPr="00323267">
        <w:rPr>
          <w:rFonts w:ascii="Times New Roman" w:eastAsia="Times New Roman" w:hAnsi="Times New Roman" w:cs="Times New Roman"/>
          <w:kern w:val="0"/>
          <w:lang w:val="en-US" w:eastAsia="es-CO"/>
          <w14:ligatures w14:val="none"/>
        </w:rPr>
        <w:t xml:space="preserve">. UNESCO. </w:t>
      </w:r>
    </w:p>
    <w:p w14:paraId="30E1F989" w14:textId="48B2E8F4"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val="en-US" w:eastAsia="es-CO"/>
          <w14:ligatures w14:val="none"/>
        </w:rPr>
      </w:pPr>
      <w:r w:rsidRPr="00323267">
        <w:rPr>
          <w:rFonts w:ascii="Times New Roman" w:eastAsia="Times New Roman" w:hAnsi="Times New Roman" w:cs="Times New Roman"/>
          <w:kern w:val="0"/>
          <w:lang w:val="en-US" w:eastAsia="es-CO"/>
          <w14:ligatures w14:val="none"/>
        </w:rPr>
        <w:t>OECD. (202</w:t>
      </w:r>
      <w:r w:rsidR="00AA31B8">
        <w:rPr>
          <w:rFonts w:ascii="Times New Roman" w:eastAsia="Times New Roman" w:hAnsi="Times New Roman" w:cs="Times New Roman"/>
          <w:kern w:val="0"/>
          <w:lang w:val="en-US" w:eastAsia="es-CO"/>
          <w14:ligatures w14:val="none"/>
        </w:rPr>
        <w:t>5</w:t>
      </w:r>
      <w:r w:rsidRPr="00323267">
        <w:rPr>
          <w:rFonts w:ascii="Times New Roman" w:eastAsia="Times New Roman" w:hAnsi="Times New Roman" w:cs="Times New Roman"/>
          <w:kern w:val="0"/>
          <w:lang w:val="en-US" w:eastAsia="es-CO"/>
          <w14:ligatures w14:val="none"/>
        </w:rPr>
        <w:t xml:space="preserve">). </w:t>
      </w:r>
      <w:r w:rsidRPr="00323267">
        <w:rPr>
          <w:rFonts w:ascii="Times New Roman" w:eastAsia="Times New Roman" w:hAnsi="Times New Roman" w:cs="Times New Roman"/>
          <w:i/>
          <w:iCs/>
          <w:kern w:val="0"/>
          <w:lang w:val="en-US" w:eastAsia="es-CO"/>
          <w14:ligatures w14:val="none"/>
        </w:rPr>
        <w:t>PISA 2022 Results. Volume II: Learning during and beyond the pandemic</w:t>
      </w:r>
      <w:r w:rsidRPr="00323267">
        <w:rPr>
          <w:rFonts w:ascii="Times New Roman" w:eastAsia="Times New Roman" w:hAnsi="Times New Roman" w:cs="Times New Roman"/>
          <w:kern w:val="0"/>
          <w:lang w:val="en-US" w:eastAsia="es-CO"/>
          <w14:ligatures w14:val="none"/>
        </w:rPr>
        <w:t xml:space="preserve">. OECD Publishing. </w:t>
      </w:r>
    </w:p>
    <w:p w14:paraId="682ED0B0" w14:textId="1615AD43"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val="en-US" w:eastAsia="es-CO"/>
          <w14:ligatures w14:val="none"/>
        </w:rPr>
      </w:pPr>
      <w:r w:rsidRPr="00323267">
        <w:rPr>
          <w:rFonts w:ascii="Times New Roman" w:eastAsia="Times New Roman" w:hAnsi="Times New Roman" w:cs="Times New Roman"/>
          <w:kern w:val="0"/>
          <w:lang w:val="en-US" w:eastAsia="es-CO"/>
          <w14:ligatures w14:val="none"/>
        </w:rPr>
        <w:t>OECD. (202</w:t>
      </w:r>
      <w:r w:rsidR="00AA31B8">
        <w:rPr>
          <w:rFonts w:ascii="Times New Roman" w:eastAsia="Times New Roman" w:hAnsi="Times New Roman" w:cs="Times New Roman"/>
          <w:kern w:val="0"/>
          <w:lang w:val="en-US" w:eastAsia="es-CO"/>
          <w14:ligatures w14:val="none"/>
        </w:rPr>
        <w:t>5</w:t>
      </w:r>
      <w:r w:rsidRPr="00323267">
        <w:rPr>
          <w:rFonts w:ascii="Times New Roman" w:eastAsia="Times New Roman" w:hAnsi="Times New Roman" w:cs="Times New Roman"/>
          <w:kern w:val="0"/>
          <w:lang w:val="en-US" w:eastAsia="es-CO"/>
          <w14:ligatures w14:val="none"/>
        </w:rPr>
        <w:t xml:space="preserve">). </w:t>
      </w:r>
      <w:r w:rsidRPr="00323267">
        <w:rPr>
          <w:rFonts w:ascii="Times New Roman" w:eastAsia="Times New Roman" w:hAnsi="Times New Roman" w:cs="Times New Roman"/>
          <w:i/>
          <w:iCs/>
          <w:kern w:val="0"/>
          <w:lang w:val="en-US" w:eastAsia="es-CO"/>
          <w14:ligatures w14:val="none"/>
        </w:rPr>
        <w:t>Equity and Inclusion in Education: Finding Strength through Diversity</w:t>
      </w:r>
      <w:r w:rsidRPr="00323267">
        <w:rPr>
          <w:rFonts w:ascii="Times New Roman" w:eastAsia="Times New Roman" w:hAnsi="Times New Roman" w:cs="Times New Roman"/>
          <w:kern w:val="0"/>
          <w:lang w:val="en-US" w:eastAsia="es-CO"/>
          <w14:ligatures w14:val="none"/>
        </w:rPr>
        <w:t xml:space="preserve">. OECD Publishing. </w:t>
      </w:r>
    </w:p>
    <w:p w14:paraId="6708DA8F" w14:textId="77777777" w:rsidR="00323267" w:rsidRP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r w:rsidRPr="00323267">
        <w:rPr>
          <w:rFonts w:ascii="Times New Roman" w:eastAsia="Times New Roman" w:hAnsi="Times New Roman" w:cs="Times New Roman"/>
          <w:kern w:val="0"/>
          <w:lang w:val="en-US" w:eastAsia="es-CO"/>
          <w14:ligatures w14:val="none"/>
        </w:rPr>
        <w:t xml:space="preserve">OECD. (2026). </w:t>
      </w:r>
      <w:r w:rsidRPr="00323267">
        <w:rPr>
          <w:rFonts w:ascii="Times New Roman" w:eastAsia="Times New Roman" w:hAnsi="Times New Roman" w:cs="Times New Roman"/>
          <w:i/>
          <w:iCs/>
          <w:kern w:val="0"/>
          <w:lang w:val="en-US" w:eastAsia="es-CO"/>
          <w14:ligatures w14:val="none"/>
        </w:rPr>
        <w:t>School disciplinary climate and safety: Insights from PISA 2022 and implications for student learning</w:t>
      </w:r>
      <w:r w:rsidRPr="00323267">
        <w:rPr>
          <w:rFonts w:ascii="Times New Roman" w:eastAsia="Times New Roman" w:hAnsi="Times New Roman" w:cs="Times New Roman"/>
          <w:kern w:val="0"/>
          <w:lang w:val="en-US" w:eastAsia="es-CO"/>
          <w14:ligatures w14:val="none"/>
        </w:rPr>
        <w:t xml:space="preserve">. </w:t>
      </w:r>
      <w:r w:rsidRPr="00323267">
        <w:rPr>
          <w:rFonts w:ascii="Times New Roman" w:eastAsia="Times New Roman" w:hAnsi="Times New Roman" w:cs="Times New Roman"/>
          <w:kern w:val="0"/>
          <w:lang w:eastAsia="es-CO"/>
          <w14:ligatures w14:val="none"/>
        </w:rPr>
        <w:t xml:space="preserve">OECD Publishing. </w:t>
      </w:r>
    </w:p>
    <w:p w14:paraId="59B58BFF" w14:textId="23D2F44B" w:rsidR="00323267" w:rsidRDefault="00323267" w:rsidP="00323267">
      <w:pPr>
        <w:spacing w:before="100" w:beforeAutospacing="1" w:after="100" w:afterAutospacing="1" w:line="240" w:lineRule="auto"/>
        <w:rPr>
          <w:rFonts w:ascii="Times New Roman" w:eastAsia="Times New Roman" w:hAnsi="Times New Roman" w:cs="Times New Roman"/>
          <w:kern w:val="0"/>
          <w:lang w:eastAsia="es-CO"/>
          <w14:ligatures w14:val="none"/>
        </w:rPr>
      </w:pPr>
    </w:p>
    <w:sectPr w:rsidR="00323267" w:rsidSect="00BD4B97">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267"/>
    <w:rsid w:val="00114FA8"/>
    <w:rsid w:val="00157757"/>
    <w:rsid w:val="00166731"/>
    <w:rsid w:val="00315795"/>
    <w:rsid w:val="00323267"/>
    <w:rsid w:val="003758CA"/>
    <w:rsid w:val="00466E84"/>
    <w:rsid w:val="00493C5E"/>
    <w:rsid w:val="0061280C"/>
    <w:rsid w:val="007334FD"/>
    <w:rsid w:val="0073765B"/>
    <w:rsid w:val="009F092E"/>
    <w:rsid w:val="00AA31B8"/>
    <w:rsid w:val="00B37BBB"/>
    <w:rsid w:val="00BD4B97"/>
    <w:rsid w:val="00EA6E9A"/>
    <w:rsid w:val="00ED78EE"/>
    <w:rsid w:val="00F8526B"/>
    <w:rsid w:val="00F901B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99823"/>
  <w15:chartTrackingRefBased/>
  <w15:docId w15:val="{011A21B1-D73E-44B3-BF0A-C5B082E29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232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3232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323267"/>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323267"/>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323267"/>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32326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2326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2326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2326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23267"/>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323267"/>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323267"/>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323267"/>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323267"/>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32326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2326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2326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23267"/>
    <w:rPr>
      <w:rFonts w:eastAsiaTheme="majorEastAsia" w:cstheme="majorBidi"/>
      <w:color w:val="272727" w:themeColor="text1" w:themeTint="D8"/>
    </w:rPr>
  </w:style>
  <w:style w:type="paragraph" w:styleId="Ttulo">
    <w:name w:val="Title"/>
    <w:basedOn w:val="Normal"/>
    <w:next w:val="Normal"/>
    <w:link w:val="TtuloCar"/>
    <w:uiPriority w:val="10"/>
    <w:qFormat/>
    <w:rsid w:val="003232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2326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2326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2326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23267"/>
    <w:pPr>
      <w:spacing w:before="160"/>
      <w:jc w:val="center"/>
    </w:pPr>
    <w:rPr>
      <w:i/>
      <w:iCs/>
      <w:color w:val="404040" w:themeColor="text1" w:themeTint="BF"/>
    </w:rPr>
  </w:style>
  <w:style w:type="character" w:customStyle="1" w:styleId="CitaCar">
    <w:name w:val="Cita Car"/>
    <w:basedOn w:val="Fuentedeprrafopredeter"/>
    <w:link w:val="Cita"/>
    <w:uiPriority w:val="29"/>
    <w:rsid w:val="00323267"/>
    <w:rPr>
      <w:i/>
      <w:iCs/>
      <w:color w:val="404040" w:themeColor="text1" w:themeTint="BF"/>
    </w:rPr>
  </w:style>
  <w:style w:type="paragraph" w:styleId="Prrafodelista">
    <w:name w:val="List Paragraph"/>
    <w:basedOn w:val="Normal"/>
    <w:uiPriority w:val="34"/>
    <w:qFormat/>
    <w:rsid w:val="00323267"/>
    <w:pPr>
      <w:ind w:left="720"/>
      <w:contextualSpacing/>
    </w:pPr>
  </w:style>
  <w:style w:type="character" w:styleId="nfasisintenso">
    <w:name w:val="Intense Emphasis"/>
    <w:basedOn w:val="Fuentedeprrafopredeter"/>
    <w:uiPriority w:val="21"/>
    <w:qFormat/>
    <w:rsid w:val="00323267"/>
    <w:rPr>
      <w:i/>
      <w:iCs/>
      <w:color w:val="2F5496" w:themeColor="accent1" w:themeShade="BF"/>
    </w:rPr>
  </w:style>
  <w:style w:type="paragraph" w:styleId="Citadestacada">
    <w:name w:val="Intense Quote"/>
    <w:basedOn w:val="Normal"/>
    <w:next w:val="Normal"/>
    <w:link w:val="CitadestacadaCar"/>
    <w:uiPriority w:val="30"/>
    <w:qFormat/>
    <w:rsid w:val="003232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323267"/>
    <w:rPr>
      <w:i/>
      <w:iCs/>
      <w:color w:val="2F5496" w:themeColor="accent1" w:themeShade="BF"/>
    </w:rPr>
  </w:style>
  <w:style w:type="character" w:styleId="Referenciaintensa">
    <w:name w:val="Intense Reference"/>
    <w:basedOn w:val="Fuentedeprrafopredeter"/>
    <w:uiPriority w:val="32"/>
    <w:qFormat/>
    <w:rsid w:val="0032326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nesco.org/en/health-education/safe-learning-environments?utm_source=chatgpt.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1403</Words>
  <Characters>7717</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Beatriz Giraldo</dc:creator>
  <cp:keywords/>
  <dc:description/>
  <cp:lastModifiedBy>Beatriz Giraldo</cp:lastModifiedBy>
  <cp:revision>5</cp:revision>
  <dcterms:created xsi:type="dcterms:W3CDTF">2026-06-08T03:54:00Z</dcterms:created>
  <dcterms:modified xsi:type="dcterms:W3CDTF">2026-06-08T03:58:00Z</dcterms:modified>
</cp:coreProperties>
</file>