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7EAF" w14:textId="77777777" w:rsidR="00F962DF" w:rsidRDefault="00000000">
      <w:pPr>
        <w:pStyle w:val="BancoTitle"/>
        <w:jc w:val="center"/>
      </w:pPr>
      <w:r>
        <w:rPr>
          <w:color w:val="338EAC"/>
        </w:rPr>
        <w:t>Banco de Tecnologías Emergentes</w:t>
      </w:r>
    </w:p>
    <w:p w14:paraId="18CCDB5D" w14:textId="77777777" w:rsidR="00F962DF" w:rsidRDefault="00000000">
      <w:pPr>
        <w:spacing w:after="160"/>
        <w:jc w:val="center"/>
      </w:pPr>
      <w:r>
        <w:rPr>
          <w:rFonts w:ascii="Georgia" w:hAnsi="Georgia"/>
          <w:i/>
          <w:color w:val="73B8A0"/>
          <w:sz w:val="23"/>
        </w:rPr>
        <w:t>para Entornos Seguros, Inclusivos y Accesibles</w:t>
      </w:r>
    </w:p>
    <w:p w14:paraId="060845D2" w14:textId="77777777" w:rsidR="00F962DF" w:rsidRDefault="00000000">
      <w:pPr>
        <w:spacing w:after="160" w:line="240" w:lineRule="auto"/>
        <w:jc w:val="both"/>
      </w:pPr>
      <w:r>
        <w:rPr>
          <w:color w:val="233C4A"/>
          <w:sz w:val="17"/>
        </w:rPr>
        <w:t>Matriz de consulta y selección pedagógica orientada a valorar tecnologías emergentes según su pertinencia educativa, su contribución a la seguridad y el bienestar digital, su capacidad para favorecer la inclusión y su potencial para reducir barreras de acceso, participación y aprendizaje.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5"/>
        <w:gridCol w:w="2563"/>
        <w:gridCol w:w="2477"/>
        <w:gridCol w:w="2621"/>
        <w:gridCol w:w="2520"/>
        <w:gridCol w:w="2621"/>
      </w:tblGrid>
      <w:tr w:rsidR="00F962DF" w14:paraId="439A46FB" w14:textId="77777777">
        <w:trPr>
          <w:tblHeader/>
          <w:jc w:val="center"/>
        </w:trPr>
        <w:tc>
          <w:tcPr>
            <w:tcW w:w="2045" w:type="dxa"/>
            <w:tcBorders>
              <w:top w:val="single" w:sz="3" w:space="0" w:color="4EB0B7"/>
              <w:left w:val="single" w:sz="3" w:space="0" w:color="4EB0B7"/>
              <w:bottom w:val="single" w:sz="3" w:space="0" w:color="4EB0B7"/>
              <w:right w:val="single" w:sz="3" w:space="0" w:color="4EB0B7"/>
            </w:tcBorders>
            <w:shd w:val="clear" w:color="auto" w:fill="338EAC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66B4443" w14:textId="77777777" w:rsidR="00F962DF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Categoría tecnológica</w:t>
            </w:r>
          </w:p>
        </w:tc>
        <w:tc>
          <w:tcPr>
            <w:tcW w:w="2563" w:type="dxa"/>
            <w:tcBorders>
              <w:top w:val="single" w:sz="3" w:space="0" w:color="4EB0B7"/>
              <w:left w:val="single" w:sz="3" w:space="0" w:color="4EB0B7"/>
              <w:bottom w:val="single" w:sz="3" w:space="0" w:color="4EB0B7"/>
              <w:right w:val="single" w:sz="3" w:space="0" w:color="4EB0B7"/>
            </w:tcBorders>
            <w:shd w:val="clear" w:color="auto" w:fill="338EAC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C266FF1" w14:textId="77777777" w:rsidR="00F962DF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Tecnologías emergentes y recursos</w:t>
            </w:r>
          </w:p>
        </w:tc>
        <w:tc>
          <w:tcPr>
            <w:tcW w:w="2477" w:type="dxa"/>
            <w:tcBorders>
              <w:top w:val="single" w:sz="3" w:space="0" w:color="4EB0B7"/>
              <w:left w:val="single" w:sz="3" w:space="0" w:color="4EB0B7"/>
              <w:bottom w:val="single" w:sz="3" w:space="0" w:color="4EB0B7"/>
              <w:right w:val="single" w:sz="3" w:space="0" w:color="4EB0B7"/>
            </w:tcBorders>
            <w:shd w:val="clear" w:color="auto" w:fill="338EAC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49A153D5" w14:textId="77777777" w:rsidR="00F962DF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Aplicación educativa</w:t>
            </w:r>
          </w:p>
        </w:tc>
        <w:tc>
          <w:tcPr>
            <w:tcW w:w="2621" w:type="dxa"/>
            <w:tcBorders>
              <w:top w:val="single" w:sz="3" w:space="0" w:color="4EB0B7"/>
              <w:left w:val="single" w:sz="3" w:space="0" w:color="4EB0B7"/>
              <w:bottom w:val="single" w:sz="3" w:space="0" w:color="4EB0B7"/>
              <w:right w:val="single" w:sz="3" w:space="0" w:color="4EB0B7"/>
            </w:tcBorders>
            <w:shd w:val="clear" w:color="auto" w:fill="338EAC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4D19DFB4" w14:textId="77777777" w:rsidR="00F962DF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Aporte a un entorno seguro</w:t>
            </w:r>
          </w:p>
        </w:tc>
        <w:tc>
          <w:tcPr>
            <w:tcW w:w="2520" w:type="dxa"/>
            <w:tcBorders>
              <w:top w:val="single" w:sz="3" w:space="0" w:color="4EB0B7"/>
              <w:left w:val="single" w:sz="3" w:space="0" w:color="4EB0B7"/>
              <w:bottom w:val="single" w:sz="3" w:space="0" w:color="4EB0B7"/>
              <w:right w:val="single" w:sz="3" w:space="0" w:color="4EB0B7"/>
            </w:tcBorders>
            <w:shd w:val="clear" w:color="auto" w:fill="338EAC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74A7E79C" w14:textId="77777777" w:rsidR="00F962DF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Aporte a la inclusión</w:t>
            </w:r>
          </w:p>
        </w:tc>
        <w:tc>
          <w:tcPr>
            <w:tcW w:w="2621" w:type="dxa"/>
            <w:tcBorders>
              <w:top w:val="single" w:sz="3" w:space="0" w:color="4EB0B7"/>
              <w:left w:val="single" w:sz="3" w:space="0" w:color="4EB0B7"/>
              <w:bottom w:val="single" w:sz="3" w:space="0" w:color="4EB0B7"/>
              <w:right w:val="single" w:sz="3" w:space="0" w:color="4EB0B7"/>
            </w:tcBorders>
            <w:shd w:val="clear" w:color="auto" w:fill="338EAC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686D491A" w14:textId="77777777" w:rsidR="00F962DF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Aporte a la accesibilidad</w:t>
            </w:r>
          </w:p>
        </w:tc>
      </w:tr>
      <w:tr w:rsidR="00F962DF" w14:paraId="645E9FA0" w14:textId="77777777">
        <w:trPr>
          <w:jc w:val="center"/>
        </w:trPr>
        <w:tc>
          <w:tcPr>
            <w:tcW w:w="2045" w:type="dxa"/>
            <w:tcBorders>
              <w:top w:val="single" w:sz="3" w:space="0" w:color="A9D5D3"/>
              <w:left w:val="single" w:sz="12" w:space="0" w:color="73B8A0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A1F18A" w14:textId="77777777" w:rsidR="00F962DF" w:rsidRDefault="00000000">
            <w:pPr>
              <w:spacing w:after="0" w:line="221" w:lineRule="auto"/>
            </w:pPr>
            <w:r>
              <w:rPr>
                <w:b/>
                <w:color w:val="338EAC"/>
                <w:sz w:val="14"/>
              </w:rPr>
              <w:t>Inteligencia Artificial Generativa</w:t>
            </w:r>
          </w:p>
        </w:tc>
        <w:tc>
          <w:tcPr>
            <w:tcW w:w="2563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BBF341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ChatGPT, Copilot, Gemini, Claude</w:t>
            </w:r>
          </w:p>
        </w:tc>
        <w:tc>
          <w:tcPr>
            <w:tcW w:w="2477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86FE053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Tutoría, retroalimentación, generación y adaptación de contenidos, ideación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6FDB694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Apoya orientaciones preventivas y acompañamiento, con supervisión humana y protección de datos</w:t>
            </w:r>
          </w:p>
        </w:tc>
        <w:tc>
          <w:tcPr>
            <w:tcW w:w="2520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E523138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Personaliza apoyos, niveles de complejidad y formas de interacción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3708F0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Simplifica textos, genera alternativas lingüísticas y adapta formatos</w:t>
            </w:r>
          </w:p>
        </w:tc>
      </w:tr>
      <w:tr w:rsidR="00F962DF" w14:paraId="0D8C870E" w14:textId="77777777">
        <w:trPr>
          <w:jc w:val="center"/>
        </w:trPr>
        <w:tc>
          <w:tcPr>
            <w:tcW w:w="2045" w:type="dxa"/>
            <w:tcBorders>
              <w:top w:val="single" w:sz="3" w:space="0" w:color="A9D5D3"/>
              <w:left w:val="single" w:sz="12" w:space="0" w:color="73B8A0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1E9F0F" w14:textId="77777777" w:rsidR="00F962DF" w:rsidRDefault="00000000">
            <w:pPr>
              <w:spacing w:after="0" w:line="221" w:lineRule="auto"/>
            </w:pPr>
            <w:r>
              <w:rPr>
                <w:b/>
                <w:color w:val="338EAC"/>
                <w:sz w:val="14"/>
              </w:rPr>
              <w:t>IA adaptativa</w:t>
            </w:r>
          </w:p>
        </w:tc>
        <w:tc>
          <w:tcPr>
            <w:tcW w:w="2563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AC8C570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Sistemas tutoriales inteligentes y plataformas adaptativas</w:t>
            </w:r>
          </w:p>
        </w:tc>
        <w:tc>
          <w:tcPr>
            <w:tcW w:w="2477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4B1C00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Rutas diferenciadas de aprendizaje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7DFC53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Detecta necesidades de acompañamiento académico</w:t>
            </w:r>
          </w:p>
        </w:tc>
        <w:tc>
          <w:tcPr>
            <w:tcW w:w="2520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45CB35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Ajusta dificultad, ritmo y secuencia según desempeño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915592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Favorece itinerarios flexibles y reducción de barreras cognitivas</w:t>
            </w:r>
          </w:p>
        </w:tc>
      </w:tr>
      <w:tr w:rsidR="00F962DF" w14:paraId="6AF00CA8" w14:textId="77777777">
        <w:trPr>
          <w:jc w:val="center"/>
        </w:trPr>
        <w:tc>
          <w:tcPr>
            <w:tcW w:w="2045" w:type="dxa"/>
            <w:tcBorders>
              <w:top w:val="single" w:sz="3" w:space="0" w:color="A9D5D3"/>
              <w:left w:val="single" w:sz="12" w:space="0" w:color="73B8A0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25D35D" w14:textId="77777777" w:rsidR="00F962DF" w:rsidRDefault="00000000">
            <w:pPr>
              <w:spacing w:after="0" w:line="221" w:lineRule="auto"/>
            </w:pPr>
            <w:r>
              <w:rPr>
                <w:b/>
                <w:color w:val="338EAC"/>
                <w:sz w:val="14"/>
              </w:rPr>
              <w:t>Procesamiento de lenguaje natural</w:t>
            </w:r>
          </w:p>
        </w:tc>
        <w:tc>
          <w:tcPr>
            <w:tcW w:w="2563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2A883A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Texto-voz, voz-texto y traducción automática</w:t>
            </w:r>
          </w:p>
        </w:tc>
        <w:tc>
          <w:tcPr>
            <w:tcW w:w="2477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3B8F310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Lectura, escritura, comunicación y traducción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9516610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Facilita canales alternativos de comunicación</w:t>
            </w:r>
          </w:p>
        </w:tc>
        <w:tc>
          <w:tcPr>
            <w:tcW w:w="2520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C51E9A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Apoya diversidad lingüística y necesidades comunicativas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33A28F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Favorece a estudiantes con barreras visuales, auditivas, motrices o lectoras</w:t>
            </w:r>
          </w:p>
        </w:tc>
      </w:tr>
      <w:tr w:rsidR="00F962DF" w14:paraId="49CBCCA9" w14:textId="77777777">
        <w:trPr>
          <w:jc w:val="center"/>
        </w:trPr>
        <w:tc>
          <w:tcPr>
            <w:tcW w:w="2045" w:type="dxa"/>
            <w:tcBorders>
              <w:top w:val="single" w:sz="3" w:space="0" w:color="A9D5D3"/>
              <w:left w:val="single" w:sz="12" w:space="0" w:color="73B8A0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227887" w14:textId="77777777" w:rsidR="00F962DF" w:rsidRDefault="00000000">
            <w:pPr>
              <w:spacing w:after="0" w:line="221" w:lineRule="auto"/>
            </w:pPr>
            <w:r>
              <w:rPr>
                <w:b/>
                <w:color w:val="338EAC"/>
                <w:sz w:val="14"/>
              </w:rPr>
              <w:t>Reconocimiento de voz</w:t>
            </w:r>
          </w:p>
        </w:tc>
        <w:tc>
          <w:tcPr>
            <w:tcW w:w="2563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76914F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Dictado por voz, comandos vocales y transcripción automática</w:t>
            </w:r>
          </w:p>
        </w:tc>
        <w:tc>
          <w:tcPr>
            <w:tcW w:w="2477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B15B5E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Producción textual y navegación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0AEC8E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Reduce dependencia de dispositivos manuales</w:t>
            </w:r>
          </w:p>
        </w:tc>
        <w:tc>
          <w:tcPr>
            <w:tcW w:w="2520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721E166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Amplía alternativas de interacción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D0C96B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Facilita acceso para personas con movilidad reducida o dificultades de escritura</w:t>
            </w:r>
          </w:p>
        </w:tc>
      </w:tr>
      <w:tr w:rsidR="00F962DF" w14:paraId="58A033BF" w14:textId="77777777">
        <w:trPr>
          <w:jc w:val="center"/>
        </w:trPr>
        <w:tc>
          <w:tcPr>
            <w:tcW w:w="2045" w:type="dxa"/>
            <w:tcBorders>
              <w:top w:val="single" w:sz="3" w:space="0" w:color="A9D5D3"/>
              <w:left w:val="single" w:sz="12" w:space="0" w:color="73B8A0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77517A" w14:textId="77777777" w:rsidR="00F962DF" w:rsidRDefault="00000000">
            <w:pPr>
              <w:spacing w:after="0" w:line="221" w:lineRule="auto"/>
            </w:pPr>
            <w:r>
              <w:rPr>
                <w:b/>
                <w:color w:val="338EAC"/>
                <w:sz w:val="14"/>
              </w:rPr>
              <w:t>Subtitulado y transcripción mediante IA</w:t>
            </w:r>
          </w:p>
        </w:tc>
        <w:tc>
          <w:tcPr>
            <w:tcW w:w="2563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7D863E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Live Caption, subtitulado inteligente y transcripción automática</w:t>
            </w:r>
          </w:p>
        </w:tc>
        <w:tc>
          <w:tcPr>
            <w:tcW w:w="2477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93D8F4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Clases, videos, videoconferencias y recursos multimedia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F70013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Permite recuperar y verificar información verbal</w:t>
            </w:r>
          </w:p>
        </w:tc>
        <w:tc>
          <w:tcPr>
            <w:tcW w:w="2520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CAC76D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Favorece diversidad auditiva y lingüística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515113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Proporciona representación textual equivalente del contenido sonoro</w:t>
            </w:r>
          </w:p>
        </w:tc>
      </w:tr>
      <w:tr w:rsidR="00F962DF" w14:paraId="1F3AA455" w14:textId="77777777">
        <w:trPr>
          <w:jc w:val="center"/>
        </w:trPr>
        <w:tc>
          <w:tcPr>
            <w:tcW w:w="2045" w:type="dxa"/>
            <w:tcBorders>
              <w:top w:val="single" w:sz="3" w:space="0" w:color="A9D5D3"/>
              <w:left w:val="single" w:sz="12" w:space="0" w:color="73B8A0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EE0B2B" w14:textId="77777777" w:rsidR="00F962DF" w:rsidRDefault="00000000">
            <w:pPr>
              <w:spacing w:after="0" w:line="221" w:lineRule="auto"/>
            </w:pPr>
            <w:r>
              <w:rPr>
                <w:b/>
                <w:color w:val="338EAC"/>
                <w:sz w:val="14"/>
              </w:rPr>
              <w:t>Lectores de pantalla y tecnologías asistivas</w:t>
            </w:r>
          </w:p>
        </w:tc>
        <w:tc>
          <w:tcPr>
            <w:tcW w:w="2563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B2F2FDD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NVDA, JAWS, VoiceOver, TalkBack</w:t>
            </w:r>
          </w:p>
        </w:tc>
        <w:tc>
          <w:tcPr>
            <w:tcW w:w="2477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C4BF074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Navegación y lectura digital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544A55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Favorece autonomía tecnológica</w:t>
            </w:r>
          </w:p>
        </w:tc>
        <w:tc>
          <w:tcPr>
            <w:tcW w:w="2520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4B4A7EC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Garantiza participación de personas con discapacidad visual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19AEB1E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Convierte información visual y textual en información audible</w:t>
            </w:r>
          </w:p>
        </w:tc>
      </w:tr>
      <w:tr w:rsidR="00F962DF" w14:paraId="3B189FD4" w14:textId="77777777">
        <w:trPr>
          <w:jc w:val="center"/>
        </w:trPr>
        <w:tc>
          <w:tcPr>
            <w:tcW w:w="2045" w:type="dxa"/>
            <w:tcBorders>
              <w:top w:val="single" w:sz="3" w:space="0" w:color="A9D5D3"/>
              <w:left w:val="single" w:sz="12" w:space="0" w:color="73B8A0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BF20D4" w14:textId="77777777" w:rsidR="00F962DF" w:rsidRDefault="00000000">
            <w:pPr>
              <w:spacing w:after="0" w:line="221" w:lineRule="auto"/>
            </w:pPr>
            <w:r>
              <w:rPr>
                <w:b/>
                <w:color w:val="338EAC"/>
                <w:sz w:val="14"/>
              </w:rPr>
              <w:t>Visión artificial y reconocimiento de imágenes</w:t>
            </w:r>
          </w:p>
        </w:tc>
        <w:tc>
          <w:tcPr>
            <w:tcW w:w="2563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A5B3796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OCR, descripción automática de imágenes y reconocimiento de objetos</w:t>
            </w:r>
          </w:p>
        </w:tc>
        <w:tc>
          <w:tcPr>
            <w:tcW w:w="2477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7055C6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Interpretación de documentos, imágenes y escenarios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97766E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Identifica información relevante del entorno</w:t>
            </w:r>
          </w:p>
        </w:tc>
        <w:tc>
          <w:tcPr>
            <w:tcW w:w="2520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A72A37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Amplía el acceso a información visual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90B21B2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Genera descripciones y convierte imágenes de texto en contenido legible</w:t>
            </w:r>
          </w:p>
        </w:tc>
      </w:tr>
      <w:tr w:rsidR="00F962DF" w14:paraId="7D41DB12" w14:textId="77777777">
        <w:trPr>
          <w:jc w:val="center"/>
        </w:trPr>
        <w:tc>
          <w:tcPr>
            <w:tcW w:w="2045" w:type="dxa"/>
            <w:tcBorders>
              <w:top w:val="single" w:sz="3" w:space="0" w:color="A9D5D3"/>
              <w:left w:val="single" w:sz="12" w:space="0" w:color="73B8A0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AB84CBA" w14:textId="77777777" w:rsidR="00F962DF" w:rsidRDefault="00000000">
            <w:pPr>
              <w:spacing w:after="0" w:line="221" w:lineRule="auto"/>
            </w:pPr>
            <w:r>
              <w:rPr>
                <w:b/>
                <w:color w:val="338EAC"/>
                <w:sz w:val="14"/>
              </w:rPr>
              <w:t>Realidad Aumentada —RA—</w:t>
            </w:r>
          </w:p>
        </w:tc>
        <w:tc>
          <w:tcPr>
            <w:tcW w:w="2563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6444B3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Objetos 3D, marcadores y aplicaciones inmersivas</w:t>
            </w:r>
          </w:p>
        </w:tc>
        <w:tc>
          <w:tcPr>
            <w:tcW w:w="2477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AC6BA8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Visualización, exploración y aprendizaje situado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AAE3B2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Permite simulaciones controladas</w:t>
            </w:r>
          </w:p>
        </w:tc>
        <w:tc>
          <w:tcPr>
            <w:tcW w:w="2520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3EE1170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Favorece experiencias multimodales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1FAD22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Ofrece representaciones alternativas de conceptos complejos</w:t>
            </w:r>
          </w:p>
        </w:tc>
      </w:tr>
      <w:tr w:rsidR="00F962DF" w14:paraId="4C002E2F" w14:textId="77777777">
        <w:trPr>
          <w:jc w:val="center"/>
        </w:trPr>
        <w:tc>
          <w:tcPr>
            <w:tcW w:w="2045" w:type="dxa"/>
            <w:tcBorders>
              <w:top w:val="single" w:sz="3" w:space="0" w:color="A9D5D3"/>
              <w:left w:val="single" w:sz="12" w:space="0" w:color="73B8A0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7E4D21" w14:textId="77777777" w:rsidR="00F962DF" w:rsidRDefault="00000000">
            <w:pPr>
              <w:spacing w:after="0" w:line="221" w:lineRule="auto"/>
            </w:pPr>
            <w:r>
              <w:rPr>
                <w:b/>
                <w:color w:val="338EAC"/>
                <w:sz w:val="14"/>
              </w:rPr>
              <w:t>Realidad Virtual —RV—</w:t>
            </w:r>
          </w:p>
        </w:tc>
        <w:tc>
          <w:tcPr>
            <w:tcW w:w="2563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261D41D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Simuladores y entornos inmersivos</w:t>
            </w:r>
          </w:p>
        </w:tc>
        <w:tc>
          <w:tcPr>
            <w:tcW w:w="2477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13304F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Prácticas, laboratorios y experiencias simuladas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130FD05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Reduce exposición a determinados riesgos físicos en simulaciones</w:t>
            </w:r>
          </w:p>
        </w:tc>
        <w:tc>
          <w:tcPr>
            <w:tcW w:w="2520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679D1B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Permite experiencias difíciles de realizar presencialmente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02EB0D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Requiere opciones alternativas para evitar barreras sensoriales o motrices</w:t>
            </w:r>
          </w:p>
        </w:tc>
      </w:tr>
      <w:tr w:rsidR="00F962DF" w14:paraId="3E89D487" w14:textId="77777777">
        <w:trPr>
          <w:jc w:val="center"/>
        </w:trPr>
        <w:tc>
          <w:tcPr>
            <w:tcW w:w="2045" w:type="dxa"/>
            <w:tcBorders>
              <w:top w:val="single" w:sz="3" w:space="0" w:color="A9D5D3"/>
              <w:left w:val="single" w:sz="12" w:space="0" w:color="73B8A0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F8A075" w14:textId="77777777" w:rsidR="00F962DF" w:rsidRDefault="00000000">
            <w:pPr>
              <w:spacing w:after="0" w:line="221" w:lineRule="auto"/>
            </w:pPr>
            <w:r>
              <w:rPr>
                <w:b/>
                <w:color w:val="338EAC"/>
                <w:sz w:val="14"/>
              </w:rPr>
              <w:t>Realidad Extendida —XR—</w:t>
            </w:r>
          </w:p>
        </w:tc>
        <w:tc>
          <w:tcPr>
            <w:tcW w:w="2563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6308B1D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Integración de RA, RV y realidad mixta</w:t>
            </w:r>
          </w:p>
        </w:tc>
        <w:tc>
          <w:tcPr>
            <w:tcW w:w="2477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558C83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Laboratorios y escenarios de aprendizaje experiencial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FC412C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Posibilita entrenamiento en espacios simulados</w:t>
            </w:r>
          </w:p>
        </w:tc>
        <w:tc>
          <w:tcPr>
            <w:tcW w:w="2520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5D2F0A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Diversifica experiencias educativas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E28EB6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Debe incorporar navegación y representación multimodal</w:t>
            </w:r>
          </w:p>
        </w:tc>
      </w:tr>
      <w:tr w:rsidR="00F962DF" w14:paraId="4DF30E49" w14:textId="77777777">
        <w:trPr>
          <w:jc w:val="center"/>
        </w:trPr>
        <w:tc>
          <w:tcPr>
            <w:tcW w:w="2045" w:type="dxa"/>
            <w:tcBorders>
              <w:top w:val="single" w:sz="3" w:space="0" w:color="A9D5D3"/>
              <w:left w:val="single" w:sz="12" w:space="0" w:color="73B8A0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AB14FC" w14:textId="77777777" w:rsidR="00F962DF" w:rsidRDefault="00000000">
            <w:pPr>
              <w:spacing w:after="0" w:line="221" w:lineRule="auto"/>
            </w:pPr>
            <w:r>
              <w:rPr>
                <w:b/>
                <w:color w:val="338EAC"/>
                <w:sz w:val="14"/>
              </w:rPr>
              <w:t>Robótica educativa</w:t>
            </w:r>
          </w:p>
        </w:tc>
        <w:tc>
          <w:tcPr>
            <w:tcW w:w="2563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50EE7F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Robots programables, kits STEAM y robots sociales</w:t>
            </w:r>
          </w:p>
        </w:tc>
        <w:tc>
          <w:tcPr>
            <w:tcW w:w="2477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DA6E01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Pensamiento computacional, resolución de problemas y colaboración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BBAFD78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Permite experimentación estructurada</w:t>
            </w:r>
          </w:p>
        </w:tc>
        <w:tc>
          <w:tcPr>
            <w:tcW w:w="2520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9ACE05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Favorece aprendizaje cooperativo y participación activa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DE5F18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Puede incorporar interfaces visuales, táctiles, sonoras y por bloques</w:t>
            </w:r>
          </w:p>
        </w:tc>
      </w:tr>
      <w:tr w:rsidR="00F962DF" w14:paraId="639DE2E5" w14:textId="77777777">
        <w:trPr>
          <w:jc w:val="center"/>
        </w:trPr>
        <w:tc>
          <w:tcPr>
            <w:tcW w:w="2045" w:type="dxa"/>
            <w:tcBorders>
              <w:top w:val="single" w:sz="3" w:space="0" w:color="A9D5D3"/>
              <w:left w:val="single" w:sz="12" w:space="0" w:color="73B8A0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077D5F3" w14:textId="77777777" w:rsidR="00F962DF" w:rsidRDefault="00000000">
            <w:pPr>
              <w:spacing w:after="0" w:line="221" w:lineRule="auto"/>
            </w:pPr>
            <w:r>
              <w:rPr>
                <w:b/>
                <w:color w:val="338EAC"/>
                <w:sz w:val="14"/>
              </w:rPr>
              <w:t>Internet de las Cosas —IoT—</w:t>
            </w:r>
          </w:p>
        </w:tc>
        <w:tc>
          <w:tcPr>
            <w:tcW w:w="2563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576D13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Sensores ambientales, dispositivos inteligentes y wearables</w:t>
            </w:r>
          </w:p>
        </w:tc>
        <w:tc>
          <w:tcPr>
            <w:tcW w:w="2477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002250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Monitoreo de ambientes y aprendizaje contextual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130FCB6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Puede detectar variables ambientales y situaciones de riesgo</w:t>
            </w:r>
          </w:p>
        </w:tc>
        <w:tc>
          <w:tcPr>
            <w:tcW w:w="2520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5BC9A9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Permite adaptar determinadas condiciones del entorno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54646F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Facilita automatización y personalización ambiental</w:t>
            </w:r>
          </w:p>
        </w:tc>
      </w:tr>
      <w:tr w:rsidR="00F962DF" w14:paraId="5085B5A7" w14:textId="77777777">
        <w:trPr>
          <w:jc w:val="center"/>
        </w:trPr>
        <w:tc>
          <w:tcPr>
            <w:tcW w:w="2045" w:type="dxa"/>
            <w:tcBorders>
              <w:top w:val="single" w:sz="3" w:space="0" w:color="A9D5D3"/>
              <w:left w:val="single" w:sz="12" w:space="0" w:color="73B8A0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164CAC" w14:textId="77777777" w:rsidR="00F962DF" w:rsidRDefault="00000000">
            <w:pPr>
              <w:spacing w:after="0" w:line="221" w:lineRule="auto"/>
            </w:pPr>
            <w:r>
              <w:rPr>
                <w:b/>
                <w:color w:val="338EAC"/>
                <w:sz w:val="14"/>
              </w:rPr>
              <w:t>Analítica de aprendizaje</w:t>
            </w:r>
          </w:p>
        </w:tc>
        <w:tc>
          <w:tcPr>
            <w:tcW w:w="2563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1884863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Learning Analytics y tableros inteligentes</w:t>
            </w:r>
          </w:p>
        </w:tc>
        <w:tc>
          <w:tcPr>
            <w:tcW w:w="2477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4DD901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Seguimiento, predicción y retroalimentación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98AC96F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Contribuye a alertas tempranas de riesgo académico</w:t>
            </w:r>
          </w:p>
        </w:tc>
        <w:tc>
          <w:tcPr>
            <w:tcW w:w="2520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5EB1DD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Permite identificar brechas de participación y desempeño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7DA65F2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Facilita decisiones pedagógicas diferenciadas</w:t>
            </w:r>
          </w:p>
        </w:tc>
      </w:tr>
      <w:tr w:rsidR="00F962DF" w14:paraId="4FB46926" w14:textId="77777777">
        <w:trPr>
          <w:jc w:val="center"/>
        </w:trPr>
        <w:tc>
          <w:tcPr>
            <w:tcW w:w="2045" w:type="dxa"/>
            <w:tcBorders>
              <w:top w:val="single" w:sz="3" w:space="0" w:color="A9D5D3"/>
              <w:left w:val="single" w:sz="12" w:space="0" w:color="73B8A0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969F1C" w14:textId="77777777" w:rsidR="00F962DF" w:rsidRDefault="00000000">
            <w:pPr>
              <w:spacing w:after="0" w:line="221" w:lineRule="auto"/>
            </w:pPr>
            <w:r>
              <w:rPr>
                <w:b/>
                <w:color w:val="338EAC"/>
                <w:sz w:val="14"/>
              </w:rPr>
              <w:t>Gamificación digital</w:t>
            </w:r>
          </w:p>
        </w:tc>
        <w:tc>
          <w:tcPr>
            <w:tcW w:w="2563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62CE0A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Escape rooms, insignias, retos y simulaciones gamificadas</w:t>
            </w:r>
          </w:p>
        </w:tc>
        <w:tc>
          <w:tcPr>
            <w:tcW w:w="2477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871972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Motivación, evaluación formativa y aprendizaje activo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E7ECA6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Propicia escenarios controlados para aprender mediante el error</w:t>
            </w:r>
          </w:p>
        </w:tc>
        <w:tc>
          <w:tcPr>
            <w:tcW w:w="2520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6E8C05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Diversifica las formas de participación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FE9559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Permite múltiples vías de compromiso cuando se diseña desde DUA</w:t>
            </w:r>
          </w:p>
        </w:tc>
      </w:tr>
      <w:tr w:rsidR="00F962DF" w14:paraId="7E5F9168" w14:textId="77777777">
        <w:trPr>
          <w:jc w:val="center"/>
        </w:trPr>
        <w:tc>
          <w:tcPr>
            <w:tcW w:w="2045" w:type="dxa"/>
            <w:tcBorders>
              <w:top w:val="single" w:sz="3" w:space="0" w:color="A9D5D3"/>
              <w:left w:val="single" w:sz="12" w:space="0" w:color="73B8A0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32AD45" w14:textId="77777777" w:rsidR="00F962DF" w:rsidRDefault="00000000">
            <w:pPr>
              <w:spacing w:after="0" w:line="221" w:lineRule="auto"/>
            </w:pPr>
            <w:r>
              <w:rPr>
                <w:b/>
                <w:color w:val="338EAC"/>
                <w:sz w:val="14"/>
              </w:rPr>
              <w:t>Tecnologías hápticas</w:t>
            </w:r>
          </w:p>
        </w:tc>
        <w:tc>
          <w:tcPr>
            <w:tcW w:w="2563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2E216F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Interfaces táctiles y dispositivos con retroalimentación háptica</w:t>
            </w:r>
          </w:p>
        </w:tc>
        <w:tc>
          <w:tcPr>
            <w:tcW w:w="2477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C57258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Exploración y simulación multisensorial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C07DB2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Apoya entrenamiento sin exposición directa a determinados escenarios</w:t>
            </w:r>
          </w:p>
        </w:tc>
        <w:tc>
          <w:tcPr>
            <w:tcW w:w="2520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AA30CCC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Amplía modalidades de percepción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C2EE6F9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Ofrece información mediante estímulos táctiles</w:t>
            </w:r>
          </w:p>
        </w:tc>
      </w:tr>
      <w:tr w:rsidR="00F962DF" w14:paraId="2F486F88" w14:textId="77777777">
        <w:trPr>
          <w:jc w:val="center"/>
        </w:trPr>
        <w:tc>
          <w:tcPr>
            <w:tcW w:w="2045" w:type="dxa"/>
            <w:tcBorders>
              <w:top w:val="single" w:sz="3" w:space="0" w:color="A9D5D3"/>
              <w:left w:val="single" w:sz="12" w:space="0" w:color="73B8A0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5A3067" w14:textId="77777777" w:rsidR="00F962DF" w:rsidRDefault="00000000">
            <w:pPr>
              <w:spacing w:after="0" w:line="221" w:lineRule="auto"/>
            </w:pPr>
            <w:r>
              <w:rPr>
                <w:b/>
                <w:color w:val="338EAC"/>
                <w:sz w:val="14"/>
              </w:rPr>
              <w:t>Impresión 3D y fabricación digital</w:t>
            </w:r>
          </w:p>
        </w:tc>
        <w:tc>
          <w:tcPr>
            <w:tcW w:w="2563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FFAF5E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Impresoras 3D, modelado y prototipado</w:t>
            </w:r>
          </w:p>
        </w:tc>
        <w:tc>
          <w:tcPr>
            <w:tcW w:w="2477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F77BB8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Material manipulativo, STEAM y diseño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522221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Facilita prototipos antes de construir soluciones reales</w:t>
            </w:r>
          </w:p>
        </w:tc>
        <w:tc>
          <w:tcPr>
            <w:tcW w:w="2520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F40F1F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Favorece experiencias concretas y colaborativas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7F50EE0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Permite producir mapas, modelos y recursos táctiles</w:t>
            </w:r>
          </w:p>
        </w:tc>
      </w:tr>
      <w:tr w:rsidR="00F962DF" w14:paraId="4115C01B" w14:textId="77777777">
        <w:trPr>
          <w:jc w:val="center"/>
        </w:trPr>
        <w:tc>
          <w:tcPr>
            <w:tcW w:w="2045" w:type="dxa"/>
            <w:tcBorders>
              <w:top w:val="single" w:sz="3" w:space="0" w:color="A9D5D3"/>
              <w:left w:val="single" w:sz="12" w:space="0" w:color="73B8A0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EB8B2D" w14:textId="77777777" w:rsidR="00F962DF" w:rsidRDefault="00000000">
            <w:pPr>
              <w:spacing w:after="0" w:line="221" w:lineRule="auto"/>
            </w:pPr>
            <w:r>
              <w:rPr>
                <w:b/>
                <w:color w:val="338EAC"/>
                <w:sz w:val="14"/>
              </w:rPr>
              <w:t>Blockchain educativo</w:t>
            </w:r>
          </w:p>
        </w:tc>
        <w:tc>
          <w:tcPr>
            <w:tcW w:w="2563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46FDDC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Credenciales digitales verificables</w:t>
            </w:r>
          </w:p>
        </w:tc>
        <w:tc>
          <w:tcPr>
            <w:tcW w:w="2477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185C9D2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Certificación y trazabilidad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9C6285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Fortalece integridad y verificabilidad de registros</w:t>
            </w:r>
          </w:p>
        </w:tc>
        <w:tc>
          <w:tcPr>
            <w:tcW w:w="2520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7C4B13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Facilita portabilidad de credenciales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1591209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Requiere interfaces accesibles para evitar barreras de uso</w:t>
            </w:r>
          </w:p>
        </w:tc>
      </w:tr>
      <w:tr w:rsidR="00F962DF" w14:paraId="31283126" w14:textId="77777777">
        <w:trPr>
          <w:jc w:val="center"/>
        </w:trPr>
        <w:tc>
          <w:tcPr>
            <w:tcW w:w="2045" w:type="dxa"/>
            <w:tcBorders>
              <w:top w:val="single" w:sz="3" w:space="0" w:color="A9D5D3"/>
              <w:left w:val="single" w:sz="12" w:space="0" w:color="73B8A0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77A7AB" w14:textId="77777777" w:rsidR="00F962DF" w:rsidRDefault="00000000">
            <w:pPr>
              <w:spacing w:after="0" w:line="221" w:lineRule="auto"/>
            </w:pPr>
            <w:r>
              <w:rPr>
                <w:b/>
                <w:color w:val="338EAC"/>
                <w:sz w:val="14"/>
              </w:rPr>
              <w:t>Tecnologías biométricas</w:t>
            </w:r>
          </w:p>
        </w:tc>
        <w:tc>
          <w:tcPr>
            <w:tcW w:w="2563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B683F7C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 xml:space="preserve">Reconocimiento facial, voz o patrones </w:t>
            </w:r>
            <w:r>
              <w:rPr>
                <w:color w:val="233C4A"/>
                <w:sz w:val="14"/>
              </w:rPr>
              <w:lastRenderedPageBreak/>
              <w:t>biométricos</w:t>
            </w:r>
          </w:p>
        </w:tc>
        <w:tc>
          <w:tcPr>
            <w:tcW w:w="2477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585555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lastRenderedPageBreak/>
              <w:t>Autenticación y control de acceso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CE7D30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 xml:space="preserve">Puede fortalecer mecanismos de </w:t>
            </w:r>
            <w:r>
              <w:rPr>
                <w:color w:val="233C4A"/>
                <w:sz w:val="14"/>
              </w:rPr>
              <w:lastRenderedPageBreak/>
              <w:t>autenticación</w:t>
            </w:r>
          </w:p>
        </w:tc>
        <w:tc>
          <w:tcPr>
            <w:tcW w:w="2520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A57612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lastRenderedPageBreak/>
              <w:t xml:space="preserve">Exige análisis de sesgos, privacidad y </w:t>
            </w:r>
            <w:r>
              <w:rPr>
                <w:color w:val="233C4A"/>
                <w:sz w:val="14"/>
              </w:rPr>
              <w:lastRenderedPageBreak/>
              <w:t>no discriminación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EAF965C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lastRenderedPageBreak/>
              <w:t xml:space="preserve">Debe ofrecer alternativas accesibles de </w:t>
            </w:r>
            <w:r>
              <w:rPr>
                <w:color w:val="233C4A"/>
                <w:sz w:val="14"/>
              </w:rPr>
              <w:lastRenderedPageBreak/>
              <w:t>autenticación</w:t>
            </w:r>
          </w:p>
        </w:tc>
      </w:tr>
      <w:tr w:rsidR="00F962DF" w14:paraId="3A6B4081" w14:textId="77777777">
        <w:trPr>
          <w:jc w:val="center"/>
        </w:trPr>
        <w:tc>
          <w:tcPr>
            <w:tcW w:w="2045" w:type="dxa"/>
            <w:tcBorders>
              <w:top w:val="single" w:sz="3" w:space="0" w:color="A9D5D3"/>
              <w:left w:val="single" w:sz="12" w:space="0" w:color="73B8A0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F23DAB" w14:textId="77777777" w:rsidR="00F962DF" w:rsidRDefault="00000000">
            <w:pPr>
              <w:spacing w:after="0" w:line="221" w:lineRule="auto"/>
            </w:pPr>
            <w:r>
              <w:rPr>
                <w:b/>
                <w:color w:val="338EAC"/>
                <w:sz w:val="14"/>
              </w:rPr>
              <w:lastRenderedPageBreak/>
              <w:t>Computación ubicua y Edge AI</w:t>
            </w:r>
          </w:p>
        </w:tc>
        <w:tc>
          <w:tcPr>
            <w:tcW w:w="2563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34B22D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Dispositivos inteligentes con procesamiento local</w:t>
            </w:r>
          </w:p>
        </w:tc>
        <w:tc>
          <w:tcPr>
            <w:tcW w:w="2477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A40EEF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Personalización contextual y respuestas inmediatas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9DDD591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Puede reducir transferencia innecesaria de determinados datos</w:t>
            </w:r>
          </w:p>
        </w:tc>
        <w:tc>
          <w:tcPr>
            <w:tcW w:w="2520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5712D0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Permite soluciones contextualizadas incluso con conectividad limitada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E8F4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798834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Facilita servicios de apoyo en tiempo real</w:t>
            </w:r>
          </w:p>
        </w:tc>
      </w:tr>
      <w:tr w:rsidR="00F962DF" w14:paraId="0F9F2FEC" w14:textId="77777777">
        <w:trPr>
          <w:jc w:val="center"/>
        </w:trPr>
        <w:tc>
          <w:tcPr>
            <w:tcW w:w="2045" w:type="dxa"/>
            <w:tcBorders>
              <w:top w:val="single" w:sz="3" w:space="0" w:color="A9D5D3"/>
              <w:left w:val="single" w:sz="12" w:space="0" w:color="73B8A0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967A64" w14:textId="77777777" w:rsidR="00F962DF" w:rsidRDefault="00000000">
            <w:pPr>
              <w:spacing w:after="0" w:line="221" w:lineRule="auto"/>
            </w:pPr>
            <w:r>
              <w:rPr>
                <w:b/>
                <w:color w:val="338EAC"/>
                <w:sz w:val="14"/>
              </w:rPr>
              <w:t>Avatares y agentes pedagógicos inteligentes</w:t>
            </w:r>
          </w:p>
        </w:tc>
        <w:tc>
          <w:tcPr>
            <w:tcW w:w="2563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E22CE4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Avatares conversacionales y asistentes virtuales</w:t>
            </w:r>
          </w:p>
        </w:tc>
        <w:tc>
          <w:tcPr>
            <w:tcW w:w="2477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E0E326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Orientación, acompañamiento y tutoría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76E4BF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Ofrecen espacios iniciales de consulta y orientación</w:t>
            </w:r>
          </w:p>
        </w:tc>
        <w:tc>
          <w:tcPr>
            <w:tcW w:w="2520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B325937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Diversifican las formas de interacción</w:t>
            </w:r>
          </w:p>
        </w:tc>
        <w:tc>
          <w:tcPr>
            <w:tcW w:w="2621" w:type="dxa"/>
            <w:tcBorders>
              <w:top w:val="single" w:sz="3" w:space="0" w:color="A9D5D3"/>
              <w:left w:val="single" w:sz="3" w:space="0" w:color="A9D5D3"/>
              <w:bottom w:val="single" w:sz="3" w:space="0" w:color="A9D5D3"/>
              <w:right w:val="single" w:sz="3" w:space="0" w:color="A9D5D3"/>
            </w:tcBorders>
            <w:shd w:val="clear" w:color="auto" w:fill="F3F9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95670D" w14:textId="77777777" w:rsidR="00F962DF" w:rsidRDefault="00000000">
            <w:pPr>
              <w:spacing w:after="0" w:line="221" w:lineRule="auto"/>
            </w:pPr>
            <w:r>
              <w:rPr>
                <w:color w:val="233C4A"/>
                <w:sz w:val="14"/>
              </w:rPr>
              <w:t>Pueden combinar texto, audio, imagen, lengua de señas y comunicación aumentativa</w:t>
            </w:r>
          </w:p>
        </w:tc>
      </w:tr>
    </w:tbl>
    <w:p w14:paraId="68FE2E2C" w14:textId="77777777" w:rsidR="00F962DF" w:rsidRDefault="00000000">
      <w:pPr>
        <w:spacing w:before="120"/>
        <w:jc w:val="center"/>
      </w:pPr>
      <w:r>
        <w:rPr>
          <w:i/>
          <w:color w:val="338EAC"/>
          <w:sz w:val="14"/>
        </w:rPr>
        <w:t>Criterio transversal: seguridad y bienestar digital · inclusión y equidad · accesibilidad universal · pertinencia pedagógica</w:t>
      </w:r>
    </w:p>
    <w:sectPr w:rsidR="00F962DF" w:rsidSect="00034616">
      <w:headerReference w:type="default" r:id="rId8"/>
      <w:footerReference w:type="default" r:id="rId9"/>
      <w:pgSz w:w="16834" w:h="11909" w:orient="landscape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C157D" w14:textId="77777777" w:rsidR="00956B4F" w:rsidRDefault="00956B4F">
      <w:pPr>
        <w:spacing w:after="0" w:line="240" w:lineRule="auto"/>
      </w:pPr>
      <w:r>
        <w:separator/>
      </w:r>
    </w:p>
  </w:endnote>
  <w:endnote w:type="continuationSeparator" w:id="0">
    <w:p w14:paraId="4B737B06" w14:textId="77777777" w:rsidR="00956B4F" w:rsidRDefault="00956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2645C" w14:textId="77777777" w:rsidR="00F962DF" w:rsidRDefault="00000000">
    <w:pPr>
      <w:pStyle w:val="Piedepgina"/>
      <w:jc w:val="center"/>
    </w:pPr>
    <w:r>
      <w:rPr>
        <w:color w:val="338EAC"/>
        <w:sz w:val="14"/>
      </w:rPr>
      <w:t xml:space="preserve">Entornos Seguros, Inclusivos y </w:t>
    </w:r>
    <w:proofErr w:type="gramStart"/>
    <w:r>
      <w:rPr>
        <w:color w:val="338EAC"/>
        <w:sz w:val="14"/>
      </w:rPr>
      <w:t>Accesibles  |</w:t>
    </w:r>
    <w:proofErr w:type="gramEnd"/>
    <w:r>
      <w:rPr>
        <w:color w:val="338EAC"/>
        <w:sz w:val="14"/>
      </w:rPr>
      <w:t xml:space="preserve">  </w:t>
    </w:r>
    <w:r>
      <w:fldChar w:fldCharType="begin"/>
    </w:r>
    <w:r>
      <w:instrText>PAGE</w:instrText>
    </w:r>
    <w:r>
      <w:fldChar w:fldCharType="separate"/>
    </w:r>
    <w:r w:rsidR="0075426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7D3F8" w14:textId="77777777" w:rsidR="00956B4F" w:rsidRDefault="00956B4F">
      <w:pPr>
        <w:spacing w:after="0" w:line="240" w:lineRule="auto"/>
      </w:pPr>
      <w:r>
        <w:separator/>
      </w:r>
    </w:p>
  </w:footnote>
  <w:footnote w:type="continuationSeparator" w:id="0">
    <w:p w14:paraId="028D2680" w14:textId="77777777" w:rsidR="00956B4F" w:rsidRDefault="00956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BFEA6" w14:textId="77777777" w:rsidR="00F962DF" w:rsidRDefault="00000000">
    <w:pPr>
      <w:pStyle w:val="Encabezado"/>
      <w:jc w:val="right"/>
    </w:pPr>
    <w:r>
      <w:rPr>
        <w:b/>
        <w:color w:val="4EB0B7"/>
        <w:sz w:val="14"/>
      </w:rPr>
      <w:t>BANCO PEDAGÓGICO DE TECNOLOGÍAS EMERGENTES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6452811">
    <w:abstractNumId w:val="8"/>
  </w:num>
  <w:num w:numId="2" w16cid:durableId="1059287632">
    <w:abstractNumId w:val="6"/>
  </w:num>
  <w:num w:numId="3" w16cid:durableId="1958753783">
    <w:abstractNumId w:val="5"/>
  </w:num>
  <w:num w:numId="4" w16cid:durableId="1851262688">
    <w:abstractNumId w:val="4"/>
  </w:num>
  <w:num w:numId="5" w16cid:durableId="1009985162">
    <w:abstractNumId w:val="7"/>
  </w:num>
  <w:num w:numId="6" w16cid:durableId="1008795727">
    <w:abstractNumId w:val="3"/>
  </w:num>
  <w:num w:numId="7" w16cid:durableId="1884318659">
    <w:abstractNumId w:val="2"/>
  </w:num>
  <w:num w:numId="8" w16cid:durableId="950630778">
    <w:abstractNumId w:val="1"/>
  </w:num>
  <w:num w:numId="9" w16cid:durableId="1446341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37303"/>
    <w:rsid w:val="00754260"/>
    <w:rsid w:val="00956B4F"/>
    <w:rsid w:val="00AA1D8D"/>
    <w:rsid w:val="00B47730"/>
    <w:rsid w:val="00CB0664"/>
    <w:rsid w:val="00F962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FAF5FF"/>
  <w14:defaultImageDpi w14:val="300"/>
  <w15:docId w15:val="{839521FA-5817-4241-808C-3EE1D25FD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6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ancoTitle">
    <w:name w:val="BancoTitle"/>
    <w:pPr>
      <w:spacing w:after="60"/>
    </w:pPr>
    <w:rPr>
      <w:rFonts w:ascii="Georgia" w:hAnsi="Georgia"/>
      <w:b/>
      <w:color w:val="17365D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988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Beatriz Giraldo</cp:lastModifiedBy>
  <cp:revision>2</cp:revision>
  <dcterms:created xsi:type="dcterms:W3CDTF">2026-09-15T05:05:00Z</dcterms:created>
  <dcterms:modified xsi:type="dcterms:W3CDTF">2026-09-15T05:05:00Z</dcterms:modified>
  <cp:category/>
</cp:coreProperties>
</file>